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A094D">
      <w:pPr>
        <w:pStyle w:val="11"/>
        <w:shd w:val="clear" w:color="auto" w:fill="auto"/>
        <w:spacing w:before="624" w:beforeLines="200" w:after="3240" w:line="1400" w:lineRule="exact"/>
        <w:jc w:val="center"/>
        <w:rPr>
          <w:rFonts w:hint="eastAsia" w:ascii="宋体" w:hAnsi="宋体" w:eastAsia="宋体" w:cs="宋体"/>
          <w:sz w:val="44"/>
          <w:szCs w:val="44"/>
        </w:rPr>
      </w:pPr>
      <w:bookmarkStart w:id="0" w:name="bookmark0"/>
      <w:r>
        <w:rPr>
          <w:rFonts w:hint="eastAsia" w:ascii="宋体" w:hAnsi="宋体" w:eastAsia="宋体" w:cs="宋体"/>
          <w:sz w:val="44"/>
          <w:szCs w:val="44"/>
        </w:rPr>
        <w:t>济南卫星星元二号项目所需</w:t>
      </w:r>
      <w:r>
        <w:rPr>
          <w:rFonts w:hint="eastAsia" w:ascii="宋体" w:hAnsi="宋体" w:eastAsia="宋体" w:cs="宋体"/>
          <w:sz w:val="44"/>
          <w:szCs w:val="44"/>
          <w:lang w:val="en-US" w:eastAsia="zh-CN"/>
        </w:rPr>
        <w:t>太阳翼支架车</w:t>
      </w:r>
      <w:r>
        <w:rPr>
          <w:rFonts w:hint="eastAsia" w:ascii="宋体" w:hAnsi="宋体" w:eastAsia="宋体" w:cs="宋体"/>
          <w:sz w:val="44"/>
          <w:szCs w:val="44"/>
        </w:rPr>
        <w:t>采购项目</w:t>
      </w:r>
    </w:p>
    <w:bookmarkEnd w:id="0"/>
    <w:p w14:paraId="5EA9CDC1">
      <w:pPr>
        <w:pStyle w:val="12"/>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465A2FF8">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66A6D2CA">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0DE34116">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789053E0">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68919456">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526AF285">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082013B">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BCB242D">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3BD5E76C">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0EEA862E">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2084C96B">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28B8BB9A">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1848BA1B">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eastAsia="zh-CN"/>
        </w:rPr>
        <w:t>6</w:t>
      </w:r>
      <w:r>
        <w:rPr>
          <w:rFonts w:hint="eastAsia" w:ascii="宋体" w:hAnsi="宋体" w:eastAsia="宋体" w:cs="宋体"/>
          <w:sz w:val="36"/>
          <w:szCs w:val="36"/>
          <w:lang w:val="zh-TW" w:eastAsia="zh-TW"/>
        </w:rPr>
        <w:t>月</w:t>
      </w:r>
      <w:r>
        <w:rPr>
          <w:rFonts w:hint="eastAsia" w:ascii="宋体" w:hAnsi="宋体" w:eastAsia="宋体" w:cs="宋体"/>
          <w:sz w:val="36"/>
          <w:szCs w:val="36"/>
          <w:lang w:val="en-US" w:eastAsia="zh-CN"/>
        </w:rPr>
        <w:t>18</w:t>
      </w:r>
      <w:r>
        <w:rPr>
          <w:rFonts w:hint="eastAsia" w:ascii="宋体" w:hAnsi="宋体" w:eastAsia="宋体" w:cs="宋体"/>
          <w:sz w:val="36"/>
          <w:szCs w:val="36"/>
          <w:lang w:val="zh-TW" w:eastAsia="zh-TW"/>
        </w:rPr>
        <w:t>日</w:t>
      </w:r>
    </w:p>
    <w:p w14:paraId="78104B6F">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lang w:val="zh-TW"/>
        </w:rPr>
      </w:pPr>
      <w:r>
        <w:rPr>
          <w:rFonts w:hint="eastAsia" w:ascii="微软雅黑" w:hAnsi="微软雅黑" w:eastAsia="微软雅黑" w:cs="微软雅黑"/>
          <w:bCs/>
          <w:color w:val="000000"/>
          <w:spacing w:val="-10"/>
          <w:sz w:val="36"/>
          <w:szCs w:val="36"/>
        </w:rPr>
        <w:t>竞争性谈判</w:t>
      </w:r>
      <w:r>
        <w:rPr>
          <w:rFonts w:hint="eastAsia" w:ascii="微软雅黑" w:hAnsi="微软雅黑" w:eastAsia="微软雅黑" w:cs="微软雅黑"/>
          <w:bCs/>
          <w:color w:val="000000"/>
          <w:spacing w:val="-10"/>
          <w:sz w:val="36"/>
          <w:szCs w:val="36"/>
          <w:lang w:val="zh-TW"/>
        </w:rPr>
        <w:t>邀请函</w:t>
      </w:r>
    </w:p>
    <w:p w14:paraId="5A13F53B">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济南卫星星元二号项目所需太阳翼支架车采购项目 </w:t>
      </w:r>
      <w:r>
        <w:rPr>
          <w:rFonts w:hint="eastAsia" w:ascii="仿宋_GB2312" w:hAnsi="仿宋_GB2312" w:eastAsia="仿宋_GB2312" w:cs="仿宋_GB2312"/>
          <w:sz w:val="32"/>
          <w:szCs w:val="32"/>
        </w:rPr>
        <w:t>采用竞争性谈判方式，现邀请有意向公司进行报价和谈判。</w:t>
      </w:r>
    </w:p>
    <w:p w14:paraId="5160DF82">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1、项目名称：济南卫星星元二号项目所需太阳翼支架车采购项目</w:t>
      </w:r>
    </w:p>
    <w:p w14:paraId="367A13AC">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2、响应文件：纸质版文档（一正本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副本）+电子版扫描文档一份</w:t>
      </w:r>
    </w:p>
    <w:p w14:paraId="6EEEB054">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3、公告、报名截止时</w:t>
      </w:r>
      <w:r>
        <w:rPr>
          <w:rFonts w:hint="eastAsia" w:ascii="仿宋_GB2312" w:hAnsi="仿宋_GB2312" w:eastAsia="仿宋_GB2312" w:cs="仿宋_GB2312"/>
          <w:sz w:val="32"/>
          <w:szCs w:val="32"/>
          <w:highlight w:val="none"/>
        </w:rPr>
        <w:t>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日17时00分</w:t>
      </w:r>
    </w:p>
    <w:p w14:paraId="5A8ECA1F">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报名邮箱：</w:t>
      </w:r>
      <w:r>
        <w:rPr>
          <w:rFonts w:hint="eastAsia" w:ascii="仿宋_GB2312" w:hAnsi="仿宋_GB2312" w:eastAsia="仿宋_GB2312" w:cs="仿宋_GB2312"/>
          <w:sz w:val="32"/>
          <w:szCs w:val="32"/>
          <w:highlight w:val="none"/>
          <w:lang w:val="en-US" w:eastAsia="zh-CN"/>
        </w:rPr>
        <w:t>61924890</w:t>
      </w:r>
      <w:r>
        <w:rPr>
          <w:rFonts w:hint="eastAsia" w:ascii="仿宋_GB2312" w:hAnsi="仿宋_GB2312" w:eastAsia="仿宋_GB2312" w:cs="仿宋_GB2312"/>
          <w:sz w:val="32"/>
          <w:szCs w:val="32"/>
          <w:highlight w:val="none"/>
        </w:rPr>
        <w:t>@qq.com</w:t>
      </w:r>
    </w:p>
    <w:p w14:paraId="157CBE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4、递交响应性文件截止时间、谈判时间：202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0分</w:t>
      </w:r>
    </w:p>
    <w:p w14:paraId="64C44394">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w:t>
      </w:r>
      <w:r>
        <w:rPr>
          <w:rFonts w:hint="eastAsia" w:ascii="仿宋_GB2312" w:hAnsi="仿宋_GB2312" w:eastAsia="仿宋_GB2312" w:cs="仿宋_GB2312"/>
          <w:sz w:val="32"/>
          <w:szCs w:val="32"/>
          <w:lang w:val="en-US" w:eastAsia="zh-CN"/>
        </w:rPr>
        <w:t>616</w:t>
      </w:r>
      <w:r>
        <w:rPr>
          <w:rFonts w:hint="eastAsia" w:ascii="仿宋_GB2312" w:hAnsi="仿宋_GB2312" w:eastAsia="仿宋_GB2312" w:cs="仿宋_GB2312"/>
          <w:sz w:val="32"/>
          <w:szCs w:val="32"/>
        </w:rPr>
        <w:t>室</w:t>
      </w:r>
    </w:p>
    <w:p w14:paraId="5120F5D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w:t>
      </w:r>
      <w:r>
        <w:rPr>
          <w:rFonts w:hint="eastAsia" w:ascii="仿宋_GB2312" w:hAnsi="仿宋_GB2312" w:eastAsia="仿宋_GB2312" w:cs="仿宋_GB2312"/>
          <w:sz w:val="32"/>
          <w:szCs w:val="32"/>
          <w:highlight w:val="none"/>
          <w:lang w:val="en-US" w:eastAsia="zh-CN"/>
        </w:rPr>
        <w:t>61924890</w:t>
      </w:r>
      <w:r>
        <w:rPr>
          <w:rFonts w:hint="eastAsia" w:ascii="仿宋_GB2312" w:hAnsi="仿宋_GB2312" w:eastAsia="仿宋_GB2312" w:cs="仿宋_GB2312"/>
          <w:sz w:val="32"/>
          <w:szCs w:val="32"/>
          <w:highlight w:val="none"/>
        </w:rPr>
        <w:t>@qq.com</w:t>
      </w:r>
    </w:p>
    <w:p w14:paraId="0A85791D">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2CB93BC8">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49354CFE">
      <w:pPr>
        <w:adjustRightInd w:val="0"/>
        <w:snapToGrid w:val="0"/>
        <w:spacing w:line="64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商务联系人：</w:t>
      </w:r>
      <w:r>
        <w:rPr>
          <w:rFonts w:hint="eastAsia" w:ascii="仿宋_GB2312" w:hAnsi="仿宋_GB2312" w:eastAsia="仿宋_GB2312" w:cs="仿宋_GB2312"/>
          <w:sz w:val="32"/>
          <w:szCs w:val="32"/>
          <w:lang w:val="en-US" w:eastAsia="zh-CN"/>
        </w:rPr>
        <w:t>孙</w:t>
      </w:r>
      <w:r>
        <w:rPr>
          <w:rFonts w:hint="eastAsia" w:ascii="仿宋_GB2312" w:hAnsi="仿宋_GB2312" w:eastAsia="仿宋_GB2312" w:cs="仿宋_GB2312"/>
          <w:sz w:val="32"/>
          <w:szCs w:val="32"/>
        </w:rPr>
        <w:t>女士      联系电话：15</w:t>
      </w:r>
      <w:r>
        <w:rPr>
          <w:rFonts w:hint="eastAsia" w:ascii="仿宋_GB2312" w:hAnsi="仿宋_GB2312" w:eastAsia="仿宋_GB2312" w:cs="仿宋_GB2312"/>
          <w:sz w:val="32"/>
          <w:szCs w:val="32"/>
          <w:lang w:val="en-US" w:eastAsia="zh-CN"/>
        </w:rPr>
        <w:t>665717190</w:t>
      </w:r>
    </w:p>
    <w:p w14:paraId="6058C1C8">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w:t>
      </w:r>
      <w:r>
        <w:rPr>
          <w:rFonts w:hint="eastAsia" w:ascii="仿宋_GB2312" w:hAnsi="仿宋_GB2312" w:eastAsia="仿宋_GB2312" w:cs="仿宋_GB2312"/>
          <w:sz w:val="32"/>
          <w:szCs w:val="32"/>
          <w:lang w:val="en-US" w:eastAsia="zh-CN"/>
        </w:rPr>
        <w:t>王</w:t>
      </w:r>
      <w:r>
        <w:rPr>
          <w:rFonts w:hint="eastAsia" w:ascii="仿宋_GB2312" w:hAnsi="仿宋_GB2312" w:eastAsia="仿宋_GB2312" w:cs="仿宋_GB2312"/>
          <w:sz w:val="32"/>
          <w:szCs w:val="32"/>
        </w:rPr>
        <w:t>先生      联系电话：13361001202</w:t>
      </w:r>
    </w:p>
    <w:p w14:paraId="5D862C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32590408">
      <w:r>
        <w:br w:type="page"/>
      </w:r>
    </w:p>
    <w:p w14:paraId="753263F8"/>
    <w:p w14:paraId="28E9CAC6">
      <w:pPr>
        <w:spacing w:line="580" w:lineRule="exact"/>
        <w:rPr>
          <w:rFonts w:hint="eastAsia" w:ascii="宋体" w:hAnsi="宋体" w:cs="宋体"/>
          <w:color w:val="000000"/>
          <w:sz w:val="32"/>
          <w:szCs w:val="32"/>
        </w:rPr>
      </w:pPr>
      <w:r>
        <w:rPr>
          <w:rFonts w:hint="eastAsia" w:eastAsia="仿宋_GB2312"/>
          <w:color w:val="000000"/>
          <w:sz w:val="30"/>
        </w:rPr>
        <w:t>附件1：</w:t>
      </w:r>
    </w:p>
    <w:p w14:paraId="6A6AE448">
      <w:pPr>
        <w:spacing w:line="580" w:lineRule="exact"/>
        <w:jc w:val="center"/>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报名表</w:t>
      </w:r>
    </w:p>
    <w:p w14:paraId="163B035E">
      <w:pPr>
        <w:spacing w:line="580" w:lineRule="exact"/>
        <w:jc w:val="center"/>
        <w:rPr>
          <w:rFonts w:hint="eastAsia" w:ascii="微软雅黑" w:hAnsi="微软雅黑" w:eastAsia="微软雅黑" w:cs="微软雅黑"/>
          <w:color w:val="000000"/>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566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CCCF46D">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0916E26B">
            <w:pPr>
              <w:spacing w:line="580" w:lineRule="exact"/>
              <w:jc w:val="center"/>
              <w:rPr>
                <w:rFonts w:hint="eastAsia" w:ascii="宋体" w:hAnsi="宋体" w:cs="宋体"/>
                <w:color w:val="000000"/>
                <w:sz w:val="32"/>
                <w:szCs w:val="32"/>
              </w:rPr>
            </w:pPr>
          </w:p>
        </w:tc>
      </w:tr>
      <w:tr w14:paraId="4DB2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D9225CC">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575D81AA">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济南卫星星元二号项目所需太阳翼支架车采购项目</w:t>
            </w:r>
          </w:p>
        </w:tc>
      </w:tr>
      <w:tr w14:paraId="0257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2D6C48B">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7EFD77A">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1293260618001</w:t>
            </w:r>
          </w:p>
        </w:tc>
      </w:tr>
      <w:tr w14:paraId="5B1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D9D6D7E">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5B94DB19">
            <w:pPr>
              <w:spacing w:line="580" w:lineRule="exact"/>
              <w:jc w:val="center"/>
              <w:rPr>
                <w:rFonts w:hint="eastAsia" w:ascii="宋体" w:hAnsi="宋体" w:cs="宋体"/>
                <w:color w:val="000000"/>
                <w:sz w:val="32"/>
                <w:szCs w:val="32"/>
              </w:rPr>
            </w:pPr>
          </w:p>
        </w:tc>
        <w:tc>
          <w:tcPr>
            <w:tcW w:w="2131" w:type="dxa"/>
            <w:vAlign w:val="center"/>
          </w:tcPr>
          <w:p w14:paraId="3C991C9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60B8F2FD">
            <w:pPr>
              <w:spacing w:line="580" w:lineRule="exact"/>
              <w:jc w:val="center"/>
              <w:rPr>
                <w:rFonts w:hint="eastAsia" w:ascii="宋体" w:hAnsi="宋体" w:cs="宋体"/>
                <w:color w:val="000000"/>
                <w:sz w:val="32"/>
                <w:szCs w:val="32"/>
              </w:rPr>
            </w:pPr>
          </w:p>
        </w:tc>
      </w:tr>
      <w:tr w14:paraId="5880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3DD5C86">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D17CFF5">
            <w:pPr>
              <w:spacing w:line="580" w:lineRule="exact"/>
              <w:jc w:val="center"/>
              <w:rPr>
                <w:rFonts w:hint="eastAsia" w:ascii="宋体" w:hAnsi="宋体" w:cs="宋体"/>
                <w:color w:val="000000"/>
                <w:sz w:val="32"/>
                <w:szCs w:val="32"/>
              </w:rPr>
            </w:pPr>
          </w:p>
        </w:tc>
      </w:tr>
    </w:tbl>
    <w:p w14:paraId="331D8306">
      <w:pPr>
        <w:spacing w:line="580" w:lineRule="exact"/>
        <w:ind w:left="1000"/>
        <w:jc w:val="center"/>
        <w:rPr>
          <w:rFonts w:hint="eastAsia" w:ascii="宋体" w:hAnsi="宋体" w:cs="宋体"/>
          <w:color w:val="000000"/>
          <w:sz w:val="32"/>
          <w:szCs w:val="32"/>
        </w:rPr>
      </w:pPr>
    </w:p>
    <w:p w14:paraId="08570EDB">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1410BF0E">
      <w:pPr>
        <w:widowControl/>
        <w:ind w:firstLine="2560" w:firstLineChars="800"/>
        <w:rPr>
          <w:rFonts w:hint="eastAsia" w:ascii="宋体" w:hAnsi="宋体" w:cs="宋体"/>
          <w:color w:val="000000"/>
          <w:sz w:val="32"/>
          <w:szCs w:val="32"/>
        </w:rPr>
      </w:pPr>
      <w:bookmarkStart w:id="20" w:name="_GoBack"/>
      <w:bookmarkEnd w:id="20"/>
    </w:p>
    <w:p w14:paraId="56BC4F2B">
      <w:pPr>
        <w:spacing w:line="580" w:lineRule="exact"/>
        <w:ind w:firstLine="3520" w:firstLineChars="1100"/>
        <w:rPr>
          <w:rFonts w:hint="eastAsia"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54E4DEBF">
      <w:pPr>
        <w:rPr>
          <w:rFonts w:hint="eastAsia" w:eastAsia="仿宋_GB2312"/>
          <w:color w:val="000000"/>
          <w:sz w:val="30"/>
        </w:rPr>
      </w:pPr>
      <w:r>
        <w:rPr>
          <w:rFonts w:hint="eastAsia" w:eastAsia="仿宋_GB2312"/>
          <w:color w:val="000000"/>
          <w:sz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1"/>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z w:val="44"/>
          <w:szCs w:val="44"/>
        </w:rPr>
        <w:t xml:space="preserve"> 济南卫星星元二号项目所需太阳翼支架车采购项目</w:t>
      </w:r>
    </w:p>
    <w:p w14:paraId="13A0A058">
      <w:pPr>
        <w:pStyle w:val="11"/>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highlight w:val="none"/>
          <w:lang w:val="zh-TW"/>
        </w:rPr>
        <w:t>202</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18</w:t>
      </w:r>
      <w:r>
        <w:rPr>
          <w:rFonts w:hint="eastAsia" w:ascii="宋体" w:hAnsi="宋体" w:eastAsia="宋体" w:cs="宋体"/>
          <w:sz w:val="36"/>
          <w:szCs w:val="36"/>
          <w:highlight w:val="none"/>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5"/>
        <w:rPr>
          <w:rFonts w:hint="eastAsia"/>
        </w:rPr>
      </w:pPr>
    </w:p>
    <w:p w14:paraId="34FC48C5">
      <w:pPr>
        <w:spacing w:line="360" w:lineRule="auto"/>
        <w:ind w:firstLine="435"/>
        <w:jc w:val="left"/>
        <w:rPr>
          <w:rFonts w:hint="eastAsia" w:ascii="宋体" w:hAnsi="宋体" w:cs="宋体"/>
          <w:sz w:val="30"/>
          <w:szCs w:val="30"/>
        </w:rPr>
      </w:pPr>
    </w:p>
    <w:p w14:paraId="350D6F9F">
      <w:pPr>
        <w:pStyle w:val="5"/>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lang w:val="zh-TW" w:eastAsia="zh-TW"/>
        </w:rPr>
      </w:pPr>
      <w:r>
        <w:rPr>
          <w:rFonts w:hint="eastAsia" w:ascii="微软雅黑" w:hAnsi="微软雅黑" w:eastAsia="微软雅黑" w:cs="微软雅黑"/>
          <w:bCs/>
          <w:color w:val="000000"/>
          <w:spacing w:val="-10"/>
          <w:sz w:val="36"/>
          <w:szCs w:val="36"/>
          <w:lang w:val="zh-TW"/>
        </w:rPr>
        <w:t>第</w:t>
      </w:r>
      <w:r>
        <w:rPr>
          <w:rFonts w:hint="eastAsia" w:ascii="微软雅黑" w:hAnsi="微软雅黑" w:eastAsia="微软雅黑" w:cs="微软雅黑"/>
          <w:bCs/>
          <w:color w:val="000000"/>
          <w:spacing w:val="-10"/>
          <w:sz w:val="36"/>
          <w:szCs w:val="36"/>
        </w:rPr>
        <w:t>一</w:t>
      </w:r>
      <w:r>
        <w:rPr>
          <w:rFonts w:hint="eastAsia" w:ascii="微软雅黑" w:hAnsi="微软雅黑" w:eastAsia="微软雅黑" w:cs="微软雅黑"/>
          <w:bCs/>
          <w:color w:val="000000"/>
          <w:spacing w:val="-10"/>
          <w:sz w:val="36"/>
          <w:szCs w:val="36"/>
          <w:lang w:val="zh-TW"/>
        </w:rPr>
        <w:t xml:space="preserve">章 </w:t>
      </w:r>
      <w:r>
        <w:rPr>
          <w:rFonts w:hint="eastAsia" w:ascii="微软雅黑" w:hAnsi="微软雅黑" w:eastAsia="微软雅黑" w:cs="微软雅黑"/>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5"/>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rPr>
      </w:pPr>
      <w:r>
        <w:rPr>
          <w:rFonts w:hint="eastAsia" w:ascii="微软雅黑" w:hAnsi="微软雅黑" w:eastAsia="微软雅黑" w:cs="微软雅黑"/>
          <w:bCs/>
          <w:color w:val="000000"/>
          <w:spacing w:val="-10"/>
          <w:sz w:val="36"/>
          <w:szCs w:val="36"/>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济南卫星星元二号项目所需太阳翼支架车采购</w:t>
      </w:r>
      <w:r>
        <w:rPr>
          <w:rFonts w:hint="eastAsia" w:ascii="仿宋_GB2312" w:hAnsi="仿宋_GB2312" w:eastAsia="仿宋_GB2312" w:cs="仿宋_GB2312"/>
          <w:sz w:val="32"/>
          <w:szCs w:val="32"/>
          <w:lang w:eastAsia="zh-CN"/>
        </w:rPr>
        <w:t>。</w:t>
      </w:r>
    </w:p>
    <w:p w14:paraId="034FAA5A">
      <w:pPr>
        <w:numPr>
          <w:ilvl w:val="0"/>
          <w:numId w:val="1"/>
        </w:num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lang w:val="en-US" w:eastAsia="zh-CN"/>
        </w:rPr>
        <w:t>采购</w:t>
      </w:r>
      <w:r>
        <w:rPr>
          <w:rFonts w:hint="eastAsia" w:ascii="楷体_GB2312" w:hAnsi="楷体_GB2312" w:eastAsia="楷体_GB2312" w:cs="楷体_GB2312"/>
          <w:b/>
          <w:sz w:val="32"/>
          <w:szCs w:val="32"/>
          <w:highlight w:val="none"/>
        </w:rPr>
        <w:t>要求</w:t>
      </w:r>
    </w:p>
    <w:p w14:paraId="6288922E">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（一）总体要求</w:t>
      </w:r>
    </w:p>
    <w:p w14:paraId="5E0E1C0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1、一般要求</w:t>
      </w:r>
    </w:p>
    <w:p w14:paraId="0861CE2B">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支架车的设计方案与制造方案应满足技术文件规定的要求，同时可适配多型号太阳翼模拟墙的使用。 应优先选用成熟的加工工艺，以减少生产和使用风险，保证产品的可靠性。</w:t>
      </w:r>
    </w:p>
    <w:p w14:paraId="2699D835">
      <w:pPr>
        <w:numPr>
          <w:ilvl w:val="0"/>
          <w:numId w:val="2"/>
        </w:num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选型材料</w:t>
      </w:r>
    </w:p>
    <w:p w14:paraId="0109E34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支架车主体框架材料可选用Q235方形钢或矩形钢，需要做防锈处理，安装板和限位块等可选用6061‑T6铝合金，其他结构可选用不锈钢，可根据实际设计要求进行材料选型。</w:t>
      </w:r>
    </w:p>
    <w:p w14:paraId="7E6FAA21">
      <w:pPr>
        <w:numPr>
          <w:ilvl w:val="0"/>
          <w:numId w:val="2"/>
        </w:numPr>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数量要求</w:t>
      </w:r>
    </w:p>
    <w:p w14:paraId="36CE363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本次采购支架车数量为2套。</w:t>
      </w:r>
    </w:p>
    <w:p w14:paraId="23A36195">
      <w:pPr>
        <w:numPr>
          <w:ilvl w:val="0"/>
          <w:numId w:val="2"/>
        </w:numPr>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质保期要求</w:t>
      </w:r>
    </w:p>
    <w:p w14:paraId="15247441">
      <w:pPr>
        <w:numPr>
          <w:ilvl w:val="0"/>
          <w:numId w:val="0"/>
        </w:numPr>
        <w:adjustRightInd w:val="0"/>
        <w:snapToGrid w:val="0"/>
        <w:spacing w:line="360" w:lineRule="auto"/>
        <w:ind w:left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支架车质保期为一年。</w:t>
      </w:r>
    </w:p>
    <w:p w14:paraId="5347100F">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（二）结构设计要求</w:t>
      </w:r>
    </w:p>
    <w:p w14:paraId="31929113">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外观架构</w:t>
      </w:r>
    </w:p>
    <w:p w14:paraId="7E7FE2E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整体框架式支撑，立柱采用三角形稳定结构；主立柱可拆卸；关键焊缝100%；尾部带配重防倾覆； </w:t>
      </w:r>
    </w:p>
    <w:p w14:paraId="40943352">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承重载荷要求</w:t>
      </w:r>
    </w:p>
    <w:p w14:paraId="10DEF60E">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1)额定静态载荷：≥200kg；</w:t>
      </w:r>
    </w:p>
    <w:p w14:paraId="628631C7">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2)安全系数：≥3；</w:t>
      </w:r>
    </w:p>
    <w:p w14:paraId="211BFBFA">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3)满载时，无塑性变形、无共振、无明显挠度；</w:t>
      </w:r>
    </w:p>
    <w:p w14:paraId="06441B39">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4)脚轮单轮称重100kg以上，至少2只万向脚轮且带刹车，锁定可靠。</w:t>
      </w:r>
    </w:p>
    <w:p w14:paraId="638A8CDA">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调节能力</w:t>
      </w:r>
    </w:p>
    <w:p w14:paraId="00281F28">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1)±Z向升降：基准位置调节量优于±150mm；</w:t>
      </w:r>
    </w:p>
    <w:p w14:paraId="14BE7D87">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2)翻转角度：±90度；</w:t>
      </w:r>
    </w:p>
    <w:p w14:paraId="691906C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3)理论转轴中心对地高度：1977.5mm</w:t>
      </w:r>
    </w:p>
    <w:p w14:paraId="5F333632">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通用性兼容</w:t>
      </w:r>
    </w:p>
    <w:p w14:paraId="5638C55A">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可适配多型号太阳翼模拟墙的安装使用。 </w:t>
      </w:r>
    </w:p>
    <w:p w14:paraId="1DA5327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模拟墙装卸</w:t>
      </w:r>
    </w:p>
    <w:p w14:paraId="266139A6">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模拟墙支撑轴位置采用 U 型支承座，上部采用螺钉拧紧的夹紧块，连接紧固可靠、快速拆装。</w:t>
      </w:r>
    </w:p>
    <w:p w14:paraId="0B734001">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表面处理</w:t>
      </w:r>
    </w:p>
    <w:p w14:paraId="2A1F5645">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主体框架外表面喷漆处理，防止支架车表面氧化腐蚀。喷漆材料应满足洁净室使用要求，无粉尘、无挥发物。喷漆材料应满足GB/T 29085-2012《卫星产品污染控制技术要求》和GJB 2203A-2005《卫星产品洁净度及污染控制要求》。</w:t>
      </w:r>
    </w:p>
    <w:p w14:paraId="747A8AE8">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排气处理</w:t>
      </w:r>
    </w:p>
    <w:p w14:paraId="0E5B963E">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太阳翼支架车选用的方形钢应有排气/排气槽，防止密闭积尘、气体滞留，应符合GJB 2203A-2005《卫星产品洁净度及污染控制要求》、GB/T 29085-2012《卫星产品污染控制技术要求》。</w:t>
      </w:r>
    </w:p>
    <w:p w14:paraId="00B5811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1)开孔位置：最高点 + 最低点 + 死角位；型腔/盲孔孔底需开孔； </w:t>
      </w:r>
    </w:p>
    <w:p w14:paraId="5EBA5096">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2)孔径：φ2～φ6mm；</w:t>
      </w:r>
    </w:p>
    <w:p w14:paraId="19A84354">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3)连通：排气孔连通，形成 “自上而下、自内而外” 排气通道。</w:t>
      </w:r>
    </w:p>
    <w:p w14:paraId="2DD6CA62">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加工要求</w:t>
      </w:r>
    </w:p>
    <w:p w14:paraId="2A6CCA05">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支架车表面应无毛刺、无多余物、清洁干燥；棱边倒钝。 </w:t>
      </w:r>
    </w:p>
    <w:p w14:paraId="0D9CE30A">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稳定性偏心</w:t>
      </w:r>
    </w:p>
    <w:p w14:paraId="78B3DE7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支架车本体和负载后，不应倾覆；底部支撑腿固定后，水平方向不滑移。</w:t>
      </w:r>
    </w:p>
    <w:p w14:paraId="3A786A00">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使用寿命</w:t>
      </w:r>
    </w:p>
    <w:p w14:paraId="186A0927">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定期检查保养，无裂纹、无松动。 </w:t>
      </w:r>
    </w:p>
    <w:p w14:paraId="2857723E">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 xml:space="preserve">环境适应性要求 </w:t>
      </w:r>
    </w:p>
    <w:p w14:paraId="3D4F2EC0">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1)温度：20±5；</w:t>
      </w:r>
    </w:p>
    <w:p w14:paraId="39ED4094">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2)相对湿度：35%～45%；</w:t>
      </w:r>
    </w:p>
    <w:p w14:paraId="4917EE7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3)洁净度：优于10 万级（ISO 8级）；</w:t>
      </w:r>
    </w:p>
    <w:p w14:paraId="564CF87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4)压力：当地大气压。</w:t>
      </w:r>
    </w:p>
    <w:p w14:paraId="6C2EF159">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防静电</w:t>
      </w:r>
    </w:p>
    <w:p w14:paraId="03CA1BA5">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1)金属结构件之间应搭接，搭接直流电阻应小于5mΩ；</w:t>
      </w:r>
    </w:p>
    <w:p w14:paraId="102FA18F">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2)支架车负载产品时，应连接专用接地线（总截面积不小于4.7mm²的多股铜线或铜丝编织带），将支架车与场地接地桩接地。</w:t>
      </w:r>
    </w:p>
    <w:p w14:paraId="3EFDA2D0">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（三）产品质量保证</w:t>
      </w:r>
    </w:p>
    <w:p w14:paraId="1DD81724">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保障性要求</w:t>
      </w:r>
    </w:p>
    <w:p w14:paraId="17DA133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承制单位应按照GJB3872《装备综合保障通用要求》，提供产品研制进度、人员、设备、技术资料、贮存及运输、维修等方面的保障。</w:t>
      </w:r>
    </w:p>
    <w:p w14:paraId="3DC2E0E6">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安全性要求</w:t>
      </w:r>
    </w:p>
    <w:p w14:paraId="295F429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承制单位按照QJ2236A《航天产品安全性保证要求》等文件的安全性要求，结合安全性设计思路和准则，并在设计中贯彻执行。</w:t>
      </w:r>
    </w:p>
    <w:p w14:paraId="3A1A7D24">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支架车设计应有模拟墙的机械限位保护；支架车尾部应按需带配种块，防止倾覆；支架车上应有明显载荷标识。</w:t>
      </w:r>
    </w:p>
    <w:p w14:paraId="635A63E0">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支架车在使用过程中，应保持周围安全性，不允许支架车受到冲击的情况。</w:t>
      </w:r>
    </w:p>
    <w:p w14:paraId="09F8C9C0">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为防止长期使用下连接螺纹预紧失效，定期对支架车的螺钉紧固进行检查。</w:t>
      </w:r>
    </w:p>
    <w:p w14:paraId="690EEA1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可靠性要求</w:t>
      </w:r>
    </w:p>
    <w:p w14:paraId="665A2BB5">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可靠性保证按照QJ 1408A-1998《航天产品可靠性保证要求》文件要求执行。满足产品翻转的支撑强度和功能性。</w:t>
      </w:r>
    </w:p>
    <w:p w14:paraId="209F9DDD">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维护性要求</w:t>
      </w:r>
    </w:p>
    <w:p w14:paraId="6E5D125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支架车之间的配合主要采用间隙配合，拆卸不会对零件造成损坏；采用模块化设计，易拆卸、易更换；支架车紧固的螺钉，可拆卸并替换。</w:t>
      </w:r>
    </w:p>
    <w:p w14:paraId="7A09A871">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多余物控制要求</w:t>
      </w:r>
    </w:p>
    <w:p w14:paraId="1C9424F0">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单机产品在装配、测试（调试）、运输、储存、维护等研制过程中可能产生多余物的主要环节，设计应采取有效防控措施，工艺应保证过程重点控制。</w:t>
      </w:r>
    </w:p>
    <w:p w14:paraId="32A19F73">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具体要求按照QJ2850A-2011《航天产品多余物预防和控制》文件要求执行。</w:t>
      </w:r>
    </w:p>
    <w:p w14:paraId="2529D8D0">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静电防护设计</w:t>
      </w:r>
    </w:p>
    <w:p w14:paraId="3E2B54C9">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静电防护参照QJ2245-92《电子仪器和设备防静电要求》和QJ2172A-2005《卫星可靠性设计指南》第20.4章节执行。</w:t>
      </w:r>
    </w:p>
    <w:p w14:paraId="3B082082">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冗余设计要求</w:t>
      </w:r>
    </w:p>
    <w:p w14:paraId="0E23260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冗余设计的目的在于减少产品超过额定重量和严重偏心的风险，从而提高支架车使用过程中的可靠性。冗余设计可参照QJ2172A-2005《卫星可靠性设计指南》第16章执行。</w:t>
      </w:r>
    </w:p>
    <w:p w14:paraId="7A2DEE0B">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元器件选用要求</w:t>
      </w:r>
    </w:p>
    <w:p w14:paraId="46380277">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国产元器件、材料选用工业级以上器件。元器件应100%进行外部目检，剔除不合格品。</w:t>
      </w:r>
    </w:p>
    <w:p w14:paraId="7919717A">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维修性要求</w:t>
      </w:r>
    </w:p>
    <w:p w14:paraId="049598B3">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支架车的设计，应能用标准的工具和测试设备进行对其标定、调整，解决存在的风险问题。产品的可维修性设计应保证在进行地面，并且不能存在操作隐患。</w:t>
      </w:r>
    </w:p>
    <w:p w14:paraId="3E490D77">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互换性要求</w:t>
      </w:r>
    </w:p>
    <w:p w14:paraId="67D68222">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太阳翼支架车采用模块化设计，翻转框架、支架车、模拟墙之间等均是独立的组件，保障了产品的快速装配、互换。</w:t>
      </w:r>
    </w:p>
    <w:p w14:paraId="50A1CB7F">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同时要求部组件、紧固件能够具有良好的互换性。相同的零件、部件、组件在不作任何加工情况下，应能互换。有精度要求的组件可重新测试、标定。</w:t>
      </w:r>
    </w:p>
    <w:p w14:paraId="7DA38438">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形状和位置公差表示方法按照GB/T 1182-1996《形状和位置公差通则、定义、符号和图样表示法》执行，形状和位置公差按照GB/T 1804-2000《一般公差、未注公差的线性和角度尺寸的公差》执行。</w:t>
      </w:r>
    </w:p>
    <w:p w14:paraId="0741FCF8">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运输要求</w:t>
      </w:r>
    </w:p>
    <w:p w14:paraId="3731398A">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支架车设计应牢固，便于吊装、搬运，不许倒置。在运输过程中，应均匀慢速移动，避免碰撞、冲击，不允许与酸、碱等腐蚀性物品一体运输。</w:t>
      </w:r>
    </w:p>
    <w:p w14:paraId="5A1738E6">
      <w:pPr>
        <w:numPr>
          <w:ilvl w:val="0"/>
          <w:numId w:val="3"/>
        </w:num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分析及验证要求</w:t>
      </w:r>
    </w:p>
    <w:p w14:paraId="3B0DD8BB">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设计完成的太阳翼支架车应进行力学仿真分析工作。</w:t>
      </w:r>
    </w:p>
    <w:p w14:paraId="261A5868">
      <w:pPr>
        <w:numPr>
          <w:ilvl w:val="0"/>
          <w:numId w:val="3"/>
        </w:numPr>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验收技术要求</w:t>
      </w:r>
    </w:p>
    <w:p w14:paraId="165BC019">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外观检查</w:t>
      </w:r>
    </w:p>
    <w:p w14:paraId="2BA41178">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支架车外观无变形、无裂纹、无碎屑，表面完好。</w:t>
      </w:r>
    </w:p>
    <w:p w14:paraId="4C6C5277">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功能试验</w:t>
      </w:r>
    </w:p>
    <w:p w14:paraId="7CCF360C">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全行程运动，刹车、支撑升降、翻转、限位功能正常。</w:t>
      </w:r>
    </w:p>
    <w:p w14:paraId="50FF1684">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精度检测</w:t>
      </w:r>
    </w:p>
    <w:p w14:paraId="3834EB9C">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支架车安装精度满足设计要求。</w:t>
      </w:r>
    </w:p>
    <w:p w14:paraId="169001F4">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载荷试验</w:t>
      </w:r>
    </w:p>
    <w:p w14:paraId="4F8D1C40">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2倍额定载荷保载3小时，无变形。</w:t>
      </w:r>
    </w:p>
    <w:p w14:paraId="4DA2674D">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安全检查</w:t>
      </w:r>
    </w:p>
    <w:p w14:paraId="6E06448D">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支架车考虑安全性设计原则，保证框架所有锐边、锐角都进行倒钝、倒圆角等处理；不得对产品造成磨损、破坏。</w:t>
      </w:r>
    </w:p>
    <w:p w14:paraId="6B5FB7E0">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 xml:space="preserve">接地和搭接检查 </w:t>
      </w:r>
    </w:p>
    <w:p w14:paraId="1F1046A4">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设有良好的接地系统，太阳翼模拟墙应与支架车接地。结构部分不得作为主接地通道。太阳翼模拟墙支架车应进行接地，接地电阻不大于5Ω。</w:t>
      </w:r>
    </w:p>
    <w:p w14:paraId="1D86D3CE">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验收文件</w:t>
      </w:r>
    </w:p>
    <w:p w14:paraId="365AD365">
      <w:pPr>
        <w:numPr>
          <w:ilvl w:val="0"/>
          <w:numId w:val="0"/>
        </w:numPr>
        <w:adjustRightInd w:val="0"/>
        <w:snapToGrid w:val="0"/>
        <w:spacing w:line="360" w:lineRule="auto"/>
        <w:ind w:left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产品设计报告和产品投产图纸、装配精度报告、合格证。</w:t>
      </w:r>
    </w:p>
    <w:p w14:paraId="3F37B04A">
      <w:pPr>
        <w:numPr>
          <w:ilvl w:val="0"/>
          <w:numId w:val="4"/>
        </w:num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付款方式：</w:t>
      </w:r>
    </w:p>
    <w:p w14:paraId="0CB7F0F1">
      <w:pPr>
        <w:adjustRightInd w:val="0"/>
        <w:snapToGrid w:val="0"/>
        <w:spacing w:line="360" w:lineRule="auto"/>
        <w:ind w:firstLine="640"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本项目产品交付，通过验收并签署验收合格单后，供方提供全额增值税专用发票（税率13%）一个月内，采购方支付全部金额的95%，其余5%作为质保金，质保期满且无质量问题，一个月内采购方无息支付剩余款项。</w:t>
      </w:r>
    </w:p>
    <w:p w14:paraId="0B1DDD3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06369C48">
      <w:pPr>
        <w:numPr>
          <w:ilvl w:val="0"/>
          <w:numId w:val="4"/>
        </w:numPr>
        <w:adjustRightInd w:val="0"/>
        <w:snapToGrid w:val="0"/>
        <w:spacing w:line="360" w:lineRule="auto"/>
        <w:ind w:firstLine="630" w:firstLineChars="196"/>
        <w:jc w:val="left"/>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其他说明</w:t>
      </w:r>
    </w:p>
    <w:p w14:paraId="359FF83C">
      <w:pPr>
        <w:numPr>
          <w:ilvl w:val="0"/>
          <w:numId w:val="0"/>
        </w:numPr>
        <w:adjustRightInd w:val="0"/>
        <w:snapToGrid w:val="0"/>
        <w:spacing w:line="360" w:lineRule="auto"/>
        <w:ind w:left="0" w:leftChars="0"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产品相关详细技术参数，设计图纸等报名后请联系商务负责人。</w:t>
      </w:r>
    </w:p>
    <w:p w14:paraId="2E58F9BD">
      <w:pPr>
        <w:adjustRightInd w:val="0"/>
        <w:snapToGrid w:val="0"/>
        <w:spacing w:line="360" w:lineRule="auto"/>
        <w:ind w:firstLine="640" w:firstLineChars="200"/>
        <w:rPr>
          <w:rFonts w:hint="eastAsia" w:ascii="仿宋_GB2312" w:hAnsi="仿宋_GB2312" w:eastAsia="仿宋_GB2312" w:cs="仿宋_GB2312"/>
          <w:sz w:val="32"/>
          <w:szCs w:val="32"/>
        </w:rPr>
      </w:pPr>
    </w:p>
    <w:p w14:paraId="2E9D9A4A">
      <w:pPr>
        <w:pStyle w:val="14"/>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5"/>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560" w:firstLineChars="200"/>
        <w:jc w:val="left"/>
        <w:rPr>
          <w:rFonts w:hint="eastAsia" w:ascii="仿宋" w:hAnsi="仿宋" w:eastAsia="宋体" w:cs="仿宋"/>
          <w:sz w:val="28"/>
          <w:szCs w:val="28"/>
          <w:lang w:val="en-US" w:eastAsia="zh-CN"/>
        </w:rPr>
      </w:pPr>
      <w:r>
        <w:rPr>
          <w:rFonts w:hint="eastAsia" w:ascii="仿宋" w:hAnsi="仿宋" w:cs="仿宋"/>
          <w:sz w:val="28"/>
          <w:szCs w:val="28"/>
        </w:rPr>
        <w:t>项目名称：济南卫星星元二号项目所需</w:t>
      </w:r>
      <w:r>
        <w:rPr>
          <w:rFonts w:hint="eastAsia" w:ascii="仿宋" w:hAnsi="仿宋" w:cs="仿宋"/>
          <w:sz w:val="28"/>
          <w:szCs w:val="28"/>
          <w:lang w:val="en-US" w:eastAsia="zh-CN"/>
        </w:rPr>
        <w:t>太阳翼支架车采购</w:t>
      </w:r>
    </w:p>
    <w:p w14:paraId="425C03AB">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w:t>
      </w:r>
      <w:r>
        <w:rPr>
          <w:rFonts w:hint="eastAsia" w:ascii="仿宋" w:hAnsi="仿宋" w:cs="仿宋"/>
          <w:sz w:val="28"/>
          <w:szCs w:val="28"/>
          <w:lang w:val="en-US" w:eastAsia="zh-CN"/>
        </w:rPr>
        <w:t>6</w:t>
      </w:r>
      <w:r>
        <w:rPr>
          <w:rFonts w:hint="eastAsia" w:ascii="仿宋" w:hAnsi="仿宋" w:cs="仿宋"/>
          <w:sz w:val="28"/>
          <w:szCs w:val="28"/>
        </w:rPr>
        <w:t>年</w:t>
      </w:r>
      <w:r>
        <w:rPr>
          <w:rFonts w:hint="eastAsia" w:ascii="仿宋" w:hAnsi="仿宋" w:cs="仿宋"/>
          <w:sz w:val="28"/>
          <w:szCs w:val="28"/>
          <w:lang w:val="en-US" w:eastAsia="zh-CN"/>
        </w:rPr>
        <w:t>6</w:t>
      </w:r>
      <w:r>
        <w:rPr>
          <w:rFonts w:hint="eastAsia" w:ascii="仿宋" w:hAnsi="仿宋" w:cs="仿宋"/>
          <w:sz w:val="28"/>
          <w:szCs w:val="28"/>
        </w:rPr>
        <w:t>月</w:t>
      </w:r>
    </w:p>
    <w:p w14:paraId="247004ED">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6"/>
          <w:szCs w:val="36"/>
        </w:rPr>
      </w:pPr>
      <w:bookmarkStart w:id="1" w:name="_Toc53993180"/>
      <w:bookmarkStart w:id="2" w:name="_Toc45835884"/>
      <w:bookmarkStart w:id="3" w:name="_Toc46325217"/>
      <w:r>
        <w:rPr>
          <w:rFonts w:hint="eastAsia" w:ascii="微软雅黑" w:hAnsi="微软雅黑" w:eastAsia="微软雅黑" w:cs="微软雅黑"/>
          <w:bCs/>
          <w:sz w:val="36"/>
          <w:szCs w:val="36"/>
        </w:rPr>
        <w:t>目  录</w:t>
      </w:r>
      <w:bookmarkEnd w:id="1"/>
    </w:p>
    <w:p w14:paraId="0BABC772">
      <w:pPr>
        <w:snapToGrid w:val="0"/>
        <w:spacing w:before="312" w:beforeLines="100" w:line="360" w:lineRule="auto"/>
        <w:ind w:firstLine="220" w:firstLineChars="200"/>
        <w:jc w:val="center"/>
        <w:rPr>
          <w:rFonts w:hint="eastAsia" w:ascii="微软雅黑" w:hAnsi="微软雅黑" w:eastAsia="微软雅黑" w:cs="微软雅黑"/>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5"/>
          <w:rFonts w:hint="eastAsia" w:ascii="宋体" w:hAnsi="宋体" w:cs="宋体"/>
          <w:b w:val="0"/>
          <w:sz w:val="28"/>
          <w:szCs w:val="28"/>
        </w:rPr>
      </w:pPr>
      <w:bookmarkStart w:id="5" w:name="_Toc45835886"/>
      <w:bookmarkStart w:id="6" w:name="_Toc46325219"/>
      <w:bookmarkStart w:id="7" w:name="_Toc53993183"/>
      <w:r>
        <w:rPr>
          <w:rStyle w:val="15"/>
          <w:rFonts w:hint="eastAsia" w:ascii="宋体" w:hAnsi="宋体" w:cs="宋体"/>
          <w:b w:val="0"/>
          <w:sz w:val="28"/>
          <w:szCs w:val="28"/>
        </w:rPr>
        <w:t>附件：</w:t>
      </w:r>
      <w:bookmarkEnd w:id="5"/>
      <w:bookmarkEnd w:id="6"/>
      <w:bookmarkEnd w:id="7"/>
      <w:r>
        <w:rPr>
          <w:rStyle w:val="15"/>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53993184"/>
      <w:bookmarkStart w:id="9" w:name="_Toc46325220"/>
      <w:bookmarkStart w:id="10" w:name="_Toc45835887"/>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default" w:ascii="黑体" w:hAnsi="黑体" w:eastAsia="黑体" w:cs="黑体"/>
          <w:bCs/>
          <w:sz w:val="28"/>
          <w:szCs w:val="28"/>
          <w:lang w:val="en-US"/>
        </w:rPr>
      </w:pPr>
      <w:r>
        <w:rPr>
          <w:rFonts w:hint="eastAsia" w:ascii="黑体" w:hAnsi="黑体" w:eastAsia="黑体" w:cs="黑体"/>
          <w:bCs/>
          <w:sz w:val="28"/>
          <w:szCs w:val="28"/>
        </w:rPr>
        <w:t>三、</w:t>
      </w:r>
      <w:r>
        <w:rPr>
          <w:rFonts w:hint="eastAsia" w:ascii="黑体" w:hAnsi="黑体" w:eastAsia="黑体" w:cs="黑体"/>
          <w:bCs/>
          <w:sz w:val="28"/>
          <w:szCs w:val="28"/>
          <w:lang w:val="en-US" w:eastAsia="zh-CN"/>
        </w:rPr>
        <w:t>产品技术指标</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5"/>
          <w:rFonts w:hint="eastAsia" w:ascii="宋体" w:hAnsi="宋体" w:cs="宋体"/>
          <w:b w:val="0"/>
          <w:sz w:val="28"/>
          <w:szCs w:val="28"/>
        </w:rPr>
      </w:pPr>
      <w:bookmarkStart w:id="11" w:name="_Toc45835892"/>
      <w:bookmarkStart w:id="12" w:name="_Toc46325225"/>
      <w:bookmarkStart w:id="13" w:name="_Toc53993189"/>
      <w:r>
        <w:rPr>
          <w:rStyle w:val="15"/>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46325226"/>
      <w:bookmarkStart w:id="15" w:name="_Toc53993190"/>
      <w:bookmarkStart w:id="16" w:name="_Toc45835893"/>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6"/>
        <w:rPr>
          <w:rFonts w:hint="eastAsia" w:ascii="仿宋" w:hAnsi="仿宋" w:cs="仿宋"/>
          <w:b/>
          <w:sz w:val="32"/>
          <w:szCs w:val="32"/>
        </w:rPr>
      </w:pPr>
    </w:p>
    <w:p w14:paraId="27A9E90D">
      <w:pPr>
        <w:pStyle w:val="16"/>
        <w:rPr>
          <w:rFonts w:hint="eastAsia" w:ascii="仿宋" w:hAnsi="仿宋" w:cs="仿宋"/>
          <w:b/>
          <w:sz w:val="32"/>
          <w:szCs w:val="32"/>
        </w:rPr>
      </w:pPr>
    </w:p>
    <w:p w14:paraId="13948CF2">
      <w:pPr>
        <w:pStyle w:val="16"/>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br w:type="page"/>
      </w:r>
      <w:r>
        <w:rPr>
          <w:rFonts w:hint="eastAsia" w:ascii="微软雅黑" w:hAnsi="微软雅黑" w:eastAsia="微软雅黑" w:cs="微软雅黑"/>
          <w:bCs/>
          <w:sz w:val="32"/>
          <w:szCs w:val="32"/>
        </w:rPr>
        <w:t>一、谈判响应声明</w:t>
      </w:r>
    </w:p>
    <w:p w14:paraId="441733E5">
      <w:pPr>
        <w:snapToGrid w:val="0"/>
        <w:spacing w:before="312" w:beforeLines="100" w:after="156" w:afterLines="50" w:line="360" w:lineRule="auto"/>
        <w:rPr>
          <w:rStyle w:val="15"/>
          <w:rFonts w:hint="eastAsia" w:ascii="宋体" w:hAnsi="宋体" w:cs="宋体"/>
          <w:b w:val="0"/>
          <w:sz w:val="24"/>
          <w:szCs w:val="24"/>
        </w:rPr>
      </w:pPr>
      <w:r>
        <w:rPr>
          <w:rStyle w:val="15"/>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一．我方已仔细研究了济南卫星星元二号项目所需太阳翼支架车采购项目竞谈文件的全部内容，愿意按照谈判文件要求的所有内容完成工作。</w:t>
      </w:r>
    </w:p>
    <w:p w14:paraId="3C5E5C2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（3）按照谈判要求提交履约保证金；</w:t>
      </w:r>
      <w:bookmarkStart w:id="17" w:name="_Toc352691658"/>
      <w:bookmarkStart w:id="18" w:name="_Toc1187"/>
      <w:bookmarkStart w:id="19" w:name="_Toc369531694"/>
    </w:p>
    <w:p w14:paraId="40714DD8">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w:t>
      </w:r>
      <w:bookmarkEnd w:id="17"/>
      <w:bookmarkEnd w:id="18"/>
      <w:bookmarkEnd w:id="19"/>
      <w:r>
        <w:rPr>
          <w:rStyle w:val="15"/>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（6）本谈判有效期满足谈判要求；</w:t>
      </w:r>
    </w:p>
    <w:p w14:paraId="2AE50521">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四．我方在此声明</w:t>
      </w:r>
    </w:p>
    <w:p w14:paraId="374CB98C">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(1)受到刑事处罚；</w:t>
      </w:r>
    </w:p>
    <w:p w14:paraId="29E0452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附件：法定代表人授权书</w:t>
      </w:r>
    </w:p>
    <w:p w14:paraId="75DADE9A">
      <w:pPr>
        <w:snapToGrid w:val="0"/>
        <w:spacing w:line="360" w:lineRule="auto"/>
        <w:ind w:firstLine="482" w:firstLineChars="200"/>
        <w:rPr>
          <w:rStyle w:val="15"/>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星元二号项目所需太阳翼支架车采购项目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二、供应方的资格证明材料</w:t>
      </w:r>
    </w:p>
    <w:tbl>
      <w:tblPr>
        <w:tblStyle w:val="7"/>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A1A4D0A">
      <w:pPr>
        <w:numPr>
          <w:ilvl w:val="0"/>
          <w:numId w:val="5"/>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w:t>
      </w:r>
      <w:r>
        <w:rPr>
          <w:rFonts w:hint="eastAsia" w:ascii="仿宋" w:hAnsi="仿宋" w:cs="仿宋"/>
          <w:sz w:val="24"/>
          <w:szCs w:val="24"/>
          <w:lang w:val="en-US" w:eastAsia="zh-CN"/>
        </w:rPr>
        <w:t>及各类资质证明</w:t>
      </w:r>
    </w:p>
    <w:p w14:paraId="510B54F5">
      <w:pPr>
        <w:numPr>
          <w:ilvl w:val="0"/>
          <w:numId w:val="5"/>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5"/>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2025年审计报告</w:t>
      </w:r>
      <w:r>
        <w:rPr>
          <w:rFonts w:hint="eastAsia" w:ascii="仿宋" w:hAnsi="仿宋" w:cs="仿宋"/>
          <w:sz w:val="24"/>
          <w:szCs w:val="24"/>
          <w:highlight w:val="none"/>
          <w:lang w:val="en-US" w:eastAsia="zh-CN"/>
        </w:rPr>
        <w:t>或近三期财务报表</w:t>
      </w:r>
    </w:p>
    <w:p w14:paraId="27ABFE19">
      <w:pPr>
        <w:numPr>
          <w:ilvl w:val="0"/>
          <w:numId w:val="5"/>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国家企业信用信息公示系统</w:t>
      </w:r>
      <w:r>
        <w:rPr>
          <w:rFonts w:hint="eastAsia" w:ascii="仿宋" w:hAnsi="仿宋" w:cs="仿宋"/>
          <w:sz w:val="24"/>
          <w:szCs w:val="24"/>
          <w:highlight w:val="none"/>
          <w:lang w:val="en-US" w:eastAsia="zh-CN"/>
        </w:rPr>
        <w:t>下载的企业信用报告</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default" w:ascii="仿宋" w:hAnsi="仿宋" w:cs="仿宋"/>
          <w:b/>
          <w:sz w:val="32"/>
          <w:szCs w:val="32"/>
          <w:lang w:val="en-US"/>
        </w:rPr>
      </w:pPr>
      <w:r>
        <w:rPr>
          <w:rFonts w:hint="eastAsia" w:ascii="仿宋" w:hAnsi="仿宋" w:cs="仿宋"/>
          <w:b/>
          <w:sz w:val="32"/>
          <w:szCs w:val="32"/>
        </w:rPr>
        <w:t>三、</w:t>
      </w:r>
      <w:r>
        <w:rPr>
          <w:rFonts w:hint="eastAsia" w:ascii="仿宋" w:hAnsi="仿宋" w:cs="仿宋"/>
          <w:b/>
          <w:sz w:val="32"/>
          <w:szCs w:val="32"/>
          <w:lang w:val="en-US" w:eastAsia="zh-CN"/>
        </w:rPr>
        <w:t>产品技术指标</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5"/>
        <w:rPr>
          <w:rFonts w:hint="eastAsia" w:ascii="仿宋" w:hAnsi="仿宋" w:cs="仿宋"/>
          <w:sz w:val="24"/>
          <w:szCs w:val="24"/>
        </w:rPr>
      </w:pPr>
    </w:p>
    <w:p w14:paraId="5DAE0E39">
      <w:pPr>
        <w:rPr>
          <w:rFonts w:hint="eastAsia" w:ascii="仿宋" w:hAnsi="仿宋" w:cs="仿宋"/>
          <w:sz w:val="24"/>
          <w:szCs w:val="24"/>
        </w:rPr>
      </w:pPr>
    </w:p>
    <w:p w14:paraId="505178D1">
      <w:pPr>
        <w:pStyle w:val="5"/>
        <w:rPr>
          <w:rFonts w:hint="eastAsia" w:ascii="仿宋" w:hAnsi="仿宋" w:cs="仿宋"/>
          <w:sz w:val="24"/>
          <w:szCs w:val="24"/>
        </w:rPr>
      </w:pPr>
    </w:p>
    <w:p w14:paraId="4DAD3101">
      <w:pPr>
        <w:rPr>
          <w:rFonts w:hint="eastAsia" w:ascii="仿宋" w:hAnsi="仿宋" w:cs="仿宋"/>
          <w:sz w:val="24"/>
          <w:szCs w:val="24"/>
        </w:rPr>
      </w:pPr>
    </w:p>
    <w:p w14:paraId="0A36D6E4">
      <w:pPr>
        <w:pStyle w:val="5"/>
        <w:jc w:val="both"/>
        <w:rPr>
          <w:rFonts w:hint="eastAsia" w:ascii="仿宋" w:hAnsi="仿宋" w:cs="仿宋"/>
          <w:sz w:val="24"/>
          <w:szCs w:val="24"/>
        </w:rPr>
      </w:pPr>
    </w:p>
    <w:p w14:paraId="390BC4C5">
      <w:pPr>
        <w:rPr>
          <w:rFonts w:hint="eastAsia" w:ascii="仿宋" w:hAnsi="仿宋" w:cs="仿宋"/>
          <w:sz w:val="24"/>
          <w:szCs w:val="24"/>
        </w:rPr>
      </w:pPr>
    </w:p>
    <w:p w14:paraId="275DFA35">
      <w:pPr>
        <w:pStyle w:val="5"/>
        <w:rPr>
          <w:rFonts w:hint="eastAsia" w:ascii="仿宋" w:hAnsi="仿宋" w:cs="仿宋"/>
          <w:sz w:val="24"/>
          <w:szCs w:val="24"/>
        </w:rPr>
      </w:pPr>
    </w:p>
    <w:p w14:paraId="5FA5DAB0">
      <w:pPr>
        <w:rPr>
          <w:rFonts w:hint="eastAsia" w:ascii="仿宋" w:hAnsi="仿宋" w:cs="仿宋"/>
          <w:sz w:val="24"/>
          <w:szCs w:val="24"/>
        </w:rPr>
      </w:pPr>
    </w:p>
    <w:p w14:paraId="42EC31AB">
      <w:pPr>
        <w:pStyle w:val="5"/>
        <w:rPr>
          <w:rFonts w:hint="eastAsia" w:ascii="仿宋" w:hAnsi="仿宋" w:cs="仿宋"/>
          <w:sz w:val="24"/>
          <w:szCs w:val="24"/>
        </w:rPr>
      </w:pPr>
    </w:p>
    <w:p w14:paraId="1BD25E0C">
      <w:pPr>
        <w:rPr>
          <w:rFonts w:hint="eastAsia" w:ascii="仿宋" w:hAnsi="仿宋" w:cs="仿宋"/>
          <w:sz w:val="24"/>
          <w:szCs w:val="24"/>
        </w:rPr>
      </w:pPr>
    </w:p>
    <w:p w14:paraId="6144F1F1">
      <w:pPr>
        <w:pStyle w:val="5"/>
        <w:rPr>
          <w:rFonts w:hint="eastAsia" w:ascii="仿宋" w:hAnsi="仿宋" w:cs="仿宋"/>
          <w:sz w:val="24"/>
          <w:szCs w:val="24"/>
        </w:rPr>
      </w:pPr>
    </w:p>
    <w:p w14:paraId="0705AC95">
      <w:pPr>
        <w:rPr>
          <w:rFonts w:hint="eastAsia" w:ascii="仿宋" w:hAnsi="仿宋" w:cs="仿宋"/>
          <w:sz w:val="24"/>
          <w:szCs w:val="24"/>
        </w:rPr>
      </w:pPr>
    </w:p>
    <w:p w14:paraId="1A9CE1EB">
      <w:pPr>
        <w:pStyle w:val="5"/>
        <w:rPr>
          <w:rFonts w:hint="eastAsia" w:ascii="仿宋" w:hAnsi="仿宋" w:cs="仿宋"/>
          <w:sz w:val="24"/>
          <w:szCs w:val="24"/>
        </w:rPr>
      </w:pPr>
    </w:p>
    <w:p w14:paraId="1EFE63AA">
      <w:pPr>
        <w:rPr>
          <w:rFonts w:hint="eastAsia" w:ascii="仿宋" w:hAnsi="仿宋" w:cs="仿宋"/>
          <w:sz w:val="24"/>
          <w:szCs w:val="24"/>
        </w:rPr>
      </w:pPr>
    </w:p>
    <w:p w14:paraId="3879FA75">
      <w:pPr>
        <w:pStyle w:val="5"/>
        <w:rPr>
          <w:rFonts w:hint="eastAsia" w:ascii="仿宋" w:hAnsi="仿宋" w:cs="仿宋"/>
          <w:sz w:val="24"/>
          <w:szCs w:val="24"/>
        </w:rPr>
      </w:pPr>
    </w:p>
    <w:p w14:paraId="27A8FAD5">
      <w:pPr>
        <w:rPr>
          <w:rFonts w:hint="eastAsia" w:ascii="仿宋" w:hAnsi="仿宋" w:cs="仿宋"/>
          <w:sz w:val="24"/>
          <w:szCs w:val="24"/>
        </w:rPr>
      </w:pPr>
    </w:p>
    <w:p w14:paraId="2CDC61E5">
      <w:pPr>
        <w:pStyle w:val="5"/>
        <w:rPr>
          <w:rFonts w:hint="eastAsia" w:ascii="仿宋" w:hAnsi="仿宋" w:cs="仿宋"/>
          <w:sz w:val="24"/>
          <w:szCs w:val="24"/>
        </w:rPr>
      </w:pPr>
    </w:p>
    <w:p w14:paraId="0FAF2AA0">
      <w:pPr>
        <w:rPr>
          <w:rFonts w:hint="eastAsia" w:ascii="仿宋" w:hAnsi="仿宋" w:cs="仿宋"/>
          <w:sz w:val="24"/>
          <w:szCs w:val="24"/>
        </w:rPr>
      </w:pPr>
    </w:p>
    <w:p w14:paraId="17CDB903">
      <w:pPr>
        <w:pStyle w:val="5"/>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7"/>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78438B15">
            <w:pPr>
              <w:snapToGrid w:val="0"/>
              <w:spacing w:line="360" w:lineRule="auto"/>
              <w:jc w:val="center"/>
              <w:rPr>
                <w:rFonts w:hint="eastAsia" w:ascii="仿宋" w:hAnsi="仿宋" w:cs="仿宋"/>
                <w:b/>
                <w:color w:val="auto"/>
                <w:sz w:val="24"/>
                <w:szCs w:val="24"/>
              </w:rPr>
            </w:pPr>
            <w:r>
              <w:rPr>
                <w:rFonts w:hint="eastAsia" w:ascii="仿宋" w:hAnsi="仿宋" w:cs="仿宋"/>
                <w:b/>
                <w:color w:val="auto"/>
                <w:sz w:val="24"/>
                <w:szCs w:val="24"/>
              </w:rPr>
              <w:t>报价</w:t>
            </w:r>
          </w:p>
          <w:p w14:paraId="006C3559">
            <w:pPr>
              <w:snapToGrid w:val="0"/>
              <w:spacing w:line="360" w:lineRule="auto"/>
              <w:jc w:val="center"/>
              <w:rPr>
                <w:rFonts w:hint="default" w:ascii="仿宋" w:hAnsi="仿宋" w:eastAsia="宋体" w:cs="仿宋"/>
                <w:b/>
                <w:color w:val="auto"/>
                <w:sz w:val="24"/>
                <w:szCs w:val="24"/>
                <w:lang w:val="en-US" w:eastAsia="zh-CN"/>
              </w:rPr>
            </w:pPr>
          </w:p>
          <w:p w14:paraId="28BAE771">
            <w:pPr>
              <w:snapToGrid w:val="0"/>
              <w:spacing w:line="360" w:lineRule="auto"/>
              <w:jc w:val="center"/>
              <w:rPr>
                <w:rFonts w:hint="eastAsia" w:ascii="仿宋" w:hAnsi="仿宋" w:cs="仿宋"/>
                <w:b/>
                <w:sz w:val="24"/>
                <w:szCs w:val="24"/>
              </w:rPr>
            </w:pPr>
            <w:r>
              <w:rPr>
                <w:rFonts w:hint="eastAsia" w:ascii="仿宋" w:hAnsi="仿宋" w:cs="仿宋"/>
                <w:b/>
                <w:color w:val="auto"/>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219FDE0D">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val="en-US" w:eastAsia="zh-CN"/>
              </w:rPr>
              <w:t>含运费</w:t>
            </w:r>
            <w:r>
              <w:rPr>
                <w:rFonts w:hint="eastAsia" w:ascii="仿宋" w:hAnsi="仿宋" w:cs="仿宋"/>
                <w:sz w:val="24"/>
                <w:szCs w:val="24"/>
              </w:rPr>
              <w:t>）</w:t>
            </w:r>
          </w:p>
          <w:p w14:paraId="77CC16FF">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val="en-US" w:eastAsia="zh-CN"/>
              </w:rPr>
              <w:t>含运费</w:t>
            </w:r>
            <w:r>
              <w:rPr>
                <w:rFonts w:hint="eastAsia" w:ascii="仿宋" w:hAnsi="仿宋" w:cs="仿宋"/>
                <w:sz w:val="24"/>
                <w:szCs w:val="24"/>
              </w:rPr>
              <w:t>）</w:t>
            </w:r>
          </w:p>
          <w:p w14:paraId="0F34BBC6">
            <w:pPr>
              <w:snapToGrid w:val="0"/>
              <w:spacing w:before="156" w:beforeLines="50" w:line="360" w:lineRule="auto"/>
              <w:rPr>
                <w:rFonts w:hint="eastAsia" w:ascii="仿宋" w:hAnsi="仿宋" w:cs="仿宋"/>
                <w:sz w:val="24"/>
                <w:szCs w:val="24"/>
              </w:rPr>
            </w:pPr>
            <w:r>
              <w:rPr>
                <w:rFonts w:hint="eastAsia" w:ascii="仿宋" w:hAnsi="仿宋" w:cs="仿宋"/>
                <w:sz w:val="24"/>
                <w:szCs w:val="24"/>
              </w:rPr>
              <w:t>其中，税率：</w:t>
            </w:r>
            <w:r>
              <w:rPr>
                <w:rFonts w:hint="eastAsia" w:ascii="仿宋" w:hAnsi="仿宋" w:cs="仿宋"/>
                <w:sz w:val="24"/>
                <w:szCs w:val="24"/>
                <w:u w:val="single"/>
              </w:rPr>
              <w:t xml:space="preserve"> </w:t>
            </w:r>
            <w:r>
              <w:rPr>
                <w:rFonts w:hint="eastAsia" w:ascii="仿宋" w:hAnsi="仿宋" w:cs="仿宋"/>
                <w:sz w:val="24"/>
                <w:szCs w:val="24"/>
                <w:u w:val="single"/>
                <w:lang w:val="en-US" w:eastAsia="zh-CN"/>
              </w:rPr>
              <w:t>13</w:t>
            </w:r>
            <w:r>
              <w:rPr>
                <w:rFonts w:hint="eastAsia" w:ascii="仿宋" w:hAnsi="仿宋" w:cs="仿宋"/>
                <w:sz w:val="24"/>
                <w:szCs w:val="24"/>
                <w:u w:val="single"/>
              </w:rPr>
              <w:t xml:space="preserve"> </w:t>
            </w:r>
            <w:r>
              <w:rPr>
                <w:rFonts w:hint="eastAsia" w:ascii="仿宋" w:hAnsi="仿宋" w:cs="仿宋"/>
                <w:sz w:val="24"/>
                <w:szCs w:val="24"/>
              </w:rPr>
              <w:t>%（增值税专用发票）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2A0C4845">
            <w:pPr>
              <w:snapToGrid w:val="0"/>
              <w:spacing w:line="360" w:lineRule="auto"/>
              <w:jc w:val="center"/>
              <w:rPr>
                <w:rFonts w:hint="eastAsia" w:ascii="仿宋" w:hAnsi="仿宋" w:cs="仿宋"/>
                <w:b/>
                <w:sz w:val="24"/>
                <w:szCs w:val="24"/>
              </w:rPr>
            </w:pPr>
            <w:r>
              <w:rPr>
                <w:rFonts w:hint="eastAsia" w:ascii="仿宋" w:hAnsi="仿宋" w:cs="仿宋"/>
                <w:b/>
                <w:sz w:val="24"/>
                <w:szCs w:val="24"/>
              </w:rPr>
              <w:t>付款</w:t>
            </w:r>
          </w:p>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1435E0BF">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本项目产品交付，通过验收并签署验收合格单后，供方提供全额增值税专用发票（税率13%）一个月内，采购方支付全部金额的95%，其余5%作为质保金，质保期满且无质量问题，一个月内采购方无息支付</w:t>
            </w:r>
            <w:r>
              <w:rPr>
                <w:rFonts w:hint="eastAsia" w:ascii="仿宋" w:hAnsi="仿宋" w:cs="仿宋"/>
                <w:sz w:val="24"/>
                <w:szCs w:val="24"/>
                <w:lang w:val="en-US" w:eastAsia="zh-CN"/>
              </w:rPr>
              <w:t>剩余款项</w:t>
            </w:r>
            <w:r>
              <w:rPr>
                <w:rFonts w:hint="eastAsia" w:ascii="仿宋" w:hAnsi="仿宋" w:cs="仿宋"/>
                <w:sz w:val="24"/>
                <w:szCs w:val="24"/>
              </w:rPr>
              <w:t>。</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625042C3">
            <w:pPr>
              <w:snapToGrid w:val="0"/>
              <w:spacing w:line="360" w:lineRule="auto"/>
              <w:jc w:val="center"/>
              <w:rPr>
                <w:rFonts w:hint="eastAsia" w:ascii="仿宋" w:hAnsi="仿宋" w:cs="仿宋"/>
                <w:b/>
                <w:sz w:val="24"/>
                <w:szCs w:val="24"/>
                <w:highlight w:val="none"/>
                <w:lang w:val="en-US" w:eastAsia="zh-CN"/>
              </w:rPr>
            </w:pPr>
            <w:r>
              <w:rPr>
                <w:rFonts w:hint="eastAsia" w:ascii="仿宋" w:hAnsi="仿宋" w:cs="仿宋"/>
                <w:b/>
                <w:sz w:val="24"/>
                <w:szCs w:val="24"/>
                <w:highlight w:val="none"/>
                <w:lang w:val="en-US" w:eastAsia="zh-CN"/>
              </w:rPr>
              <w:t>交付</w:t>
            </w:r>
          </w:p>
          <w:p w14:paraId="589DC65C">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highlight w:val="none"/>
              </w:rPr>
            </w:pPr>
            <w:r>
              <w:rPr>
                <w:rFonts w:hint="eastAsia" w:ascii="仿宋" w:hAnsi="仿宋" w:cs="仿宋"/>
                <w:sz w:val="24"/>
                <w:szCs w:val="24"/>
                <w:highlight w:val="none"/>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229C27A2">
            <w:pPr>
              <w:snapToGrid w:val="0"/>
              <w:spacing w:line="360" w:lineRule="auto"/>
              <w:jc w:val="center"/>
              <w:rPr>
                <w:rFonts w:hint="eastAsia" w:ascii="仿宋" w:hAnsi="仿宋" w:cs="仿宋"/>
                <w:b/>
                <w:sz w:val="24"/>
                <w:szCs w:val="24"/>
                <w:highlight w:val="none"/>
                <w:lang w:val="en-US" w:eastAsia="zh-CN"/>
              </w:rPr>
            </w:pPr>
            <w:r>
              <w:rPr>
                <w:rFonts w:hint="eastAsia" w:ascii="仿宋" w:hAnsi="仿宋" w:cs="仿宋"/>
                <w:b/>
                <w:sz w:val="24"/>
                <w:szCs w:val="24"/>
                <w:highlight w:val="none"/>
                <w:lang w:val="en-US" w:eastAsia="zh-CN"/>
              </w:rPr>
              <w:t>交付</w:t>
            </w:r>
          </w:p>
          <w:p w14:paraId="15B21413">
            <w:pPr>
              <w:snapToGrid w:val="0"/>
              <w:spacing w:line="360" w:lineRule="auto"/>
              <w:jc w:val="center"/>
              <w:rPr>
                <w:rFonts w:hint="default" w:ascii="仿宋" w:hAnsi="仿宋" w:eastAsia="宋体" w:cs="仿宋"/>
                <w:b/>
                <w:sz w:val="24"/>
                <w:szCs w:val="24"/>
                <w:highlight w:val="none"/>
                <w:lang w:val="en-US" w:eastAsia="zh-CN"/>
              </w:rPr>
            </w:pPr>
            <w:r>
              <w:rPr>
                <w:rFonts w:hint="eastAsia" w:ascii="仿宋" w:hAnsi="仿宋" w:cs="仿宋"/>
                <w:b/>
                <w:sz w:val="24"/>
                <w:szCs w:val="24"/>
                <w:highlight w:val="none"/>
                <w:lang w:val="en-US" w:eastAsia="zh-CN"/>
              </w:rPr>
              <w:t>形式</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default" w:ascii="仿宋" w:hAnsi="仿宋" w:eastAsia="宋体" w:cs="仿宋"/>
                <w:sz w:val="24"/>
                <w:szCs w:val="24"/>
                <w:highlight w:val="none"/>
                <w:lang w:val="en-US" w:eastAsia="zh-CN"/>
              </w:rPr>
            </w:pPr>
            <w:r>
              <w:rPr>
                <w:rFonts w:hint="eastAsia" w:ascii="仿宋" w:hAnsi="仿宋" w:cs="仿宋"/>
                <w:sz w:val="24"/>
                <w:szCs w:val="24"/>
                <w:highlight w:val="none"/>
                <w:lang w:val="en-US" w:eastAsia="zh-CN"/>
              </w:rPr>
              <w:t>实物交付。</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7BFC8D4F">
            <w:pPr>
              <w:snapToGrid w:val="0"/>
              <w:spacing w:line="360" w:lineRule="auto"/>
              <w:jc w:val="center"/>
              <w:rPr>
                <w:rFonts w:hint="default" w:ascii="仿宋" w:hAnsi="仿宋" w:cs="仿宋"/>
                <w:b/>
                <w:sz w:val="24"/>
                <w:szCs w:val="24"/>
                <w:highlight w:val="none"/>
                <w:lang w:val="en-US" w:eastAsia="zh-CN"/>
              </w:rPr>
            </w:pPr>
            <w:r>
              <w:rPr>
                <w:rFonts w:hint="eastAsia" w:ascii="仿宋" w:hAnsi="仿宋" w:cs="仿宋"/>
                <w:b/>
                <w:sz w:val="24"/>
                <w:szCs w:val="24"/>
                <w:highlight w:val="none"/>
                <w:lang w:val="en-US" w:eastAsia="zh-CN"/>
              </w:rPr>
              <w:t>完成</w:t>
            </w:r>
          </w:p>
          <w:p w14:paraId="3B1F4F01">
            <w:pPr>
              <w:snapToGrid w:val="0"/>
              <w:spacing w:line="360" w:lineRule="auto"/>
              <w:jc w:val="center"/>
              <w:rPr>
                <w:rFonts w:hint="default" w:ascii="仿宋" w:hAnsi="仿宋" w:eastAsia="宋体" w:cs="仿宋"/>
                <w:b/>
                <w:sz w:val="24"/>
                <w:szCs w:val="24"/>
                <w:highlight w:val="none"/>
                <w:lang w:val="en-US" w:eastAsia="zh-CN"/>
              </w:rPr>
            </w:pPr>
            <w:r>
              <w:rPr>
                <w:rFonts w:hint="eastAsia" w:ascii="仿宋" w:hAnsi="仿宋" w:cs="仿宋"/>
                <w:b/>
                <w:sz w:val="24"/>
                <w:szCs w:val="24"/>
                <w:highlight w:val="none"/>
                <w:lang w:val="en-US" w:eastAsia="zh-CN"/>
              </w:rPr>
              <w:t>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default" w:ascii="仿宋" w:hAnsi="仿宋" w:eastAsia="宋体" w:cs="仿宋"/>
                <w:sz w:val="24"/>
                <w:szCs w:val="24"/>
                <w:highlight w:val="none"/>
                <w:lang w:val="en-US" w:eastAsia="zh-CN"/>
              </w:rPr>
            </w:pPr>
            <w:r>
              <w:rPr>
                <w:rFonts w:hint="eastAsia" w:ascii="仿宋" w:hAnsi="仿宋" w:cs="仿宋"/>
                <w:sz w:val="24"/>
                <w:szCs w:val="24"/>
                <w:highlight w:val="none"/>
                <w:lang w:val="en-US" w:eastAsia="zh-CN"/>
              </w:rPr>
              <w:t>2026年6月25日前交付。</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 w:val="0"/>
                <w:bCs/>
                <w:sz w:val="24"/>
                <w:szCs w:val="24"/>
                <w:highlight w:val="none"/>
              </w:rPr>
            </w:pPr>
            <w:r>
              <w:rPr>
                <w:rFonts w:hint="eastAsia" w:ascii="仿宋" w:hAnsi="仿宋" w:cs="仿宋"/>
                <w:b/>
                <w:sz w:val="24"/>
                <w:szCs w:val="24"/>
                <w:highlight w:val="none"/>
              </w:rPr>
              <w:t>其他服务承诺：</w:t>
            </w:r>
          </w:p>
          <w:p w14:paraId="05429A21">
            <w:pPr>
              <w:snapToGrid w:val="0"/>
              <w:spacing w:line="360" w:lineRule="auto"/>
              <w:rPr>
                <w:rFonts w:hint="default" w:ascii="仿宋" w:hAnsi="仿宋" w:eastAsia="宋体" w:cs="仿宋"/>
                <w:sz w:val="24"/>
                <w:szCs w:val="24"/>
                <w:highlight w:val="none"/>
                <w:lang w:val="en-US" w:eastAsia="zh-CN"/>
              </w:rPr>
            </w:pPr>
            <w:r>
              <w:rPr>
                <w:rFonts w:hint="eastAsia" w:ascii="仿宋" w:hAnsi="仿宋" w:cs="仿宋"/>
                <w:sz w:val="24"/>
                <w:szCs w:val="24"/>
                <w:highlight w:val="none"/>
                <w:lang w:val="en-US" w:eastAsia="zh-CN"/>
              </w:rPr>
              <w:t>质保期为一年。</w:t>
            </w: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54B27F54">
      <w:pPr>
        <w:snapToGrid w:val="0"/>
        <w:spacing w:before="156" w:beforeLines="50" w:line="360" w:lineRule="auto"/>
        <w:ind w:firstLine="480" w:firstLineChars="200"/>
        <w:rPr>
          <w:rFonts w:hint="eastAsia" w:ascii="仿宋" w:hAnsi="仿宋" w:cs="仿宋"/>
          <w:sz w:val="24"/>
          <w:szCs w:val="24"/>
        </w:rPr>
      </w:pPr>
    </w:p>
    <w:p w14:paraId="7D8FF408">
      <w:pPr>
        <w:snapToGrid w:val="0"/>
        <w:spacing w:before="156" w:beforeLines="50" w:line="360" w:lineRule="auto"/>
        <w:ind w:firstLine="480" w:firstLineChars="200"/>
        <w:rPr>
          <w:rFonts w:hint="eastAsia" w:ascii="仿宋" w:hAnsi="仿宋" w:cs="仿宋"/>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1C8C3EFB">
      <w:pPr>
        <w:snapToGrid w:val="0"/>
        <w:spacing w:line="360" w:lineRule="auto"/>
        <w:ind w:firstLine="480" w:firstLineChars="200"/>
        <w:rPr>
          <w:rFonts w:hint="eastAsia" w:ascii="仿宋" w:hAnsi="仿宋" w:cs="仿宋"/>
          <w:sz w:val="24"/>
          <w:szCs w:val="24"/>
          <w:u w:val="single"/>
        </w:rPr>
        <w:sectPr>
          <w:pgSz w:w="11906" w:h="16838"/>
          <w:pgMar w:top="1213" w:right="1800" w:bottom="1213" w:left="1800" w:header="851" w:footer="992" w:gutter="0"/>
          <w:cols w:space="425" w:num="1"/>
          <w:docGrid w:type="lines" w:linePitch="312" w:charSpace="0"/>
        </w:sect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0F703083">
      <w:pPr>
        <w:tabs>
          <w:tab w:val="left" w:pos="1560"/>
          <w:tab w:val="center" w:pos="4422"/>
        </w:tabs>
        <w:snapToGrid w:val="0"/>
        <w:spacing w:before="156" w:beforeLines="50" w:after="156" w:afterLines="50" w:line="360" w:lineRule="auto"/>
        <w:jc w:val="center"/>
        <w:rPr>
          <w:rFonts w:hint="eastAsia" w:ascii="仿宋" w:hAnsi="仿宋" w:eastAsia="宋体" w:cs="仿宋"/>
          <w:b/>
          <w:sz w:val="32"/>
          <w:szCs w:val="32"/>
        </w:rPr>
      </w:pPr>
      <w:r>
        <w:rPr>
          <w:rFonts w:hint="eastAsia" w:ascii="仿宋" w:hAnsi="仿宋" w:eastAsia="宋体" w:cs="仿宋"/>
          <w:b/>
          <w:sz w:val="32"/>
          <w:szCs w:val="32"/>
        </w:rPr>
        <w:t>五、供应方认为需提供的其它资料</w:t>
      </w:r>
    </w:p>
    <w:p w14:paraId="29B93B6B">
      <w:pPr>
        <w:snapToGrid w:val="0"/>
        <w:spacing w:line="360" w:lineRule="auto"/>
        <w:ind w:firstLine="480" w:firstLineChars="200"/>
        <w:rPr>
          <w:rFonts w:hint="eastAsia" w:ascii="仿宋" w:hAnsi="仿宋" w:cs="仿宋"/>
          <w:sz w:val="24"/>
          <w:szCs w:val="24"/>
          <w:u w:val="singl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813FA2-0300-42C5-AFA0-18BD52589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596B8A4-C833-4DBD-A50F-148DE5D72115}"/>
  </w:font>
  <w:font w:name="Calibri Light">
    <w:panose1 w:val="020F0302020204030204"/>
    <w:charset w:val="00"/>
    <w:family w:val="auto"/>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E313B051-16EB-4E52-BE55-AB917ED4633F}"/>
  </w:font>
  <w:font w:name="仿宋_GB2312">
    <w:panose1 w:val="02010609030101010101"/>
    <w:charset w:val="86"/>
    <w:family w:val="modern"/>
    <w:pitch w:val="default"/>
    <w:sig w:usb0="00000001" w:usb1="080E0000" w:usb2="00000000" w:usb3="00000000" w:csb0="00040000" w:csb1="00000000"/>
    <w:embedRegular r:id="rId4" w:fontKey="{875CB686-55AE-41DB-A7C2-9EC5D426E721}"/>
  </w:font>
  <w:font w:name="楷体_GB2312">
    <w:panose1 w:val="02010609030101010101"/>
    <w:charset w:val="86"/>
    <w:family w:val="modern"/>
    <w:pitch w:val="default"/>
    <w:sig w:usb0="00000001" w:usb1="080E0000" w:usb2="00000000" w:usb3="00000000" w:csb0="00040000" w:csb1="00000000"/>
    <w:embedRegular r:id="rId5" w:fontKey="{47C1D90C-5299-4734-933C-0FE9FAFEA924}"/>
  </w:font>
  <w:font w:name="仿宋">
    <w:panose1 w:val="02010609060101010101"/>
    <w:charset w:val="86"/>
    <w:family w:val="modern"/>
    <w:pitch w:val="default"/>
    <w:sig w:usb0="800002BF" w:usb1="38CF7CFA" w:usb2="00000016" w:usb3="00000000" w:csb0="00040001" w:csb1="00000000"/>
    <w:embedRegular r:id="rId6" w:fontKey="{7EFD6568-E817-4575-973E-F5179069C4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3"/>
      <w:jc w:val="center"/>
    </w:pPr>
    <w:r>
      <w:fldChar w:fldCharType="begin"/>
    </w:r>
    <w:r>
      <w:instrText xml:space="preserve"> PAGE   \* MERGEFORMAT </w:instrText>
    </w:r>
    <w:r>
      <w:fldChar w:fldCharType="separate"/>
    </w:r>
    <w:r>
      <w:rPr>
        <w:lang w:val="zh-CN"/>
      </w:rPr>
      <w:t>53</w:t>
    </w:r>
    <w:r>
      <w:fldChar w:fldCharType="end"/>
    </w:r>
  </w:p>
  <w:p w14:paraId="351819B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418962E"/>
    <w:multiLevelType w:val="singleLevel"/>
    <w:tmpl w:val="0418962E"/>
    <w:lvl w:ilvl="0" w:tentative="0">
      <w:start w:val="3"/>
      <w:numFmt w:val="chineseCounting"/>
      <w:suff w:val="nothing"/>
      <w:lvlText w:val="%1、"/>
      <w:lvlJc w:val="left"/>
      <w:rPr>
        <w:rFonts w:hint="eastAsia"/>
      </w:rPr>
    </w:lvl>
  </w:abstractNum>
  <w:abstractNum w:abstractNumId="2">
    <w:nsid w:val="0DB5E52A"/>
    <w:multiLevelType w:val="singleLevel"/>
    <w:tmpl w:val="0DB5E52A"/>
    <w:lvl w:ilvl="0" w:tentative="0">
      <w:start w:val="4"/>
      <w:numFmt w:val="chineseCounting"/>
      <w:suff w:val="nothing"/>
      <w:lvlText w:val="（%1）"/>
      <w:lvlJc w:val="left"/>
      <w:rPr>
        <w:rFonts w:hint="eastAsia"/>
      </w:rPr>
    </w:lvl>
  </w:abstractNum>
  <w:abstractNum w:abstractNumId="3">
    <w:nsid w:val="1F0E883E"/>
    <w:multiLevelType w:val="singleLevel"/>
    <w:tmpl w:val="1F0E883E"/>
    <w:lvl w:ilvl="0" w:tentative="0">
      <w:start w:val="2"/>
      <w:numFmt w:val="chineseCounting"/>
      <w:suff w:val="nothing"/>
      <w:lvlText w:val="%1、"/>
      <w:lvlJc w:val="left"/>
      <w:rPr>
        <w:rFonts w:hint="eastAsia"/>
      </w:rPr>
    </w:lvl>
  </w:abstractNum>
  <w:abstractNum w:abstractNumId="4">
    <w:nsid w:val="25AA122E"/>
    <w:multiLevelType w:val="singleLevel"/>
    <w:tmpl w:val="25AA122E"/>
    <w:lvl w:ilvl="0" w:tentative="0">
      <w:start w:val="2"/>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5338E4"/>
    <w:rsid w:val="00767743"/>
    <w:rsid w:val="007B160E"/>
    <w:rsid w:val="00B71F65"/>
    <w:rsid w:val="00F20C70"/>
    <w:rsid w:val="01F80A87"/>
    <w:rsid w:val="024535A0"/>
    <w:rsid w:val="02750329"/>
    <w:rsid w:val="0278376E"/>
    <w:rsid w:val="029F53A6"/>
    <w:rsid w:val="02B726F0"/>
    <w:rsid w:val="02D4325A"/>
    <w:rsid w:val="030A6CC4"/>
    <w:rsid w:val="035C6DF3"/>
    <w:rsid w:val="03AC7D7B"/>
    <w:rsid w:val="04E11CA6"/>
    <w:rsid w:val="05087351"/>
    <w:rsid w:val="05502988"/>
    <w:rsid w:val="05BB42A5"/>
    <w:rsid w:val="05C84C14"/>
    <w:rsid w:val="07A70F85"/>
    <w:rsid w:val="07EA0E72"/>
    <w:rsid w:val="0A1B5312"/>
    <w:rsid w:val="0A724F76"/>
    <w:rsid w:val="0B161F7E"/>
    <w:rsid w:val="0B2E5519"/>
    <w:rsid w:val="0B464611"/>
    <w:rsid w:val="0BC419DA"/>
    <w:rsid w:val="0CB101B0"/>
    <w:rsid w:val="0D18022F"/>
    <w:rsid w:val="0D270472"/>
    <w:rsid w:val="0D3606B5"/>
    <w:rsid w:val="0D815DD4"/>
    <w:rsid w:val="0D86163D"/>
    <w:rsid w:val="0DA6583B"/>
    <w:rsid w:val="0E9B2EC6"/>
    <w:rsid w:val="0EA67673"/>
    <w:rsid w:val="0F9C0802"/>
    <w:rsid w:val="1030763E"/>
    <w:rsid w:val="10831E63"/>
    <w:rsid w:val="108B709A"/>
    <w:rsid w:val="10B97633"/>
    <w:rsid w:val="11991CE2"/>
    <w:rsid w:val="121877C9"/>
    <w:rsid w:val="12B62FD5"/>
    <w:rsid w:val="12DB441B"/>
    <w:rsid w:val="12ED571D"/>
    <w:rsid w:val="13A02D2C"/>
    <w:rsid w:val="14A776C0"/>
    <w:rsid w:val="14F275B8"/>
    <w:rsid w:val="15145780"/>
    <w:rsid w:val="15330B6D"/>
    <w:rsid w:val="15BA6327"/>
    <w:rsid w:val="15BF56EC"/>
    <w:rsid w:val="16677B31"/>
    <w:rsid w:val="16915513"/>
    <w:rsid w:val="16922719"/>
    <w:rsid w:val="16A6065A"/>
    <w:rsid w:val="171952CF"/>
    <w:rsid w:val="18023FB5"/>
    <w:rsid w:val="183119AD"/>
    <w:rsid w:val="18375018"/>
    <w:rsid w:val="18AE37F5"/>
    <w:rsid w:val="19FF3320"/>
    <w:rsid w:val="1A7A42D7"/>
    <w:rsid w:val="1B80591D"/>
    <w:rsid w:val="1BD712B5"/>
    <w:rsid w:val="1BDC5BC4"/>
    <w:rsid w:val="1BEA2D97"/>
    <w:rsid w:val="1C980A44"/>
    <w:rsid w:val="1CD53A47"/>
    <w:rsid w:val="1D216C8C"/>
    <w:rsid w:val="1D5E1C8E"/>
    <w:rsid w:val="1DB63878"/>
    <w:rsid w:val="1DE37048"/>
    <w:rsid w:val="1E256308"/>
    <w:rsid w:val="1E9A4F48"/>
    <w:rsid w:val="1EBD4792"/>
    <w:rsid w:val="1F3F33F9"/>
    <w:rsid w:val="1FA15E62"/>
    <w:rsid w:val="1FB76534"/>
    <w:rsid w:val="202A40A9"/>
    <w:rsid w:val="20B87193"/>
    <w:rsid w:val="20F621DE"/>
    <w:rsid w:val="21747CD2"/>
    <w:rsid w:val="2188552B"/>
    <w:rsid w:val="22596EC8"/>
    <w:rsid w:val="227C4964"/>
    <w:rsid w:val="229D5007"/>
    <w:rsid w:val="235651B5"/>
    <w:rsid w:val="237F336C"/>
    <w:rsid w:val="23D34A58"/>
    <w:rsid w:val="2419690F"/>
    <w:rsid w:val="24507E57"/>
    <w:rsid w:val="24B228BF"/>
    <w:rsid w:val="253946AA"/>
    <w:rsid w:val="25714529"/>
    <w:rsid w:val="257F0504"/>
    <w:rsid w:val="25D725DE"/>
    <w:rsid w:val="26494B14"/>
    <w:rsid w:val="26976211"/>
    <w:rsid w:val="26FC7E22"/>
    <w:rsid w:val="287700A8"/>
    <w:rsid w:val="28884063"/>
    <w:rsid w:val="289C26F8"/>
    <w:rsid w:val="28F17E5A"/>
    <w:rsid w:val="291E0523"/>
    <w:rsid w:val="296E14AB"/>
    <w:rsid w:val="2AAA5CA7"/>
    <w:rsid w:val="2B147E30"/>
    <w:rsid w:val="2BAF5E7E"/>
    <w:rsid w:val="2C3A1B18"/>
    <w:rsid w:val="2C573541"/>
    <w:rsid w:val="2CDC02EE"/>
    <w:rsid w:val="2CE33F5E"/>
    <w:rsid w:val="2D4279C2"/>
    <w:rsid w:val="2D742E08"/>
    <w:rsid w:val="2DD815E9"/>
    <w:rsid w:val="2DF857E7"/>
    <w:rsid w:val="2EEE70F6"/>
    <w:rsid w:val="2F124686"/>
    <w:rsid w:val="2F326AD7"/>
    <w:rsid w:val="2F340AA1"/>
    <w:rsid w:val="2F5125AA"/>
    <w:rsid w:val="2F713AA3"/>
    <w:rsid w:val="2F7875DF"/>
    <w:rsid w:val="30085A89"/>
    <w:rsid w:val="309D2676"/>
    <w:rsid w:val="30B55C11"/>
    <w:rsid w:val="30B8300C"/>
    <w:rsid w:val="31C7735A"/>
    <w:rsid w:val="32110C25"/>
    <w:rsid w:val="32943604"/>
    <w:rsid w:val="32A41A99"/>
    <w:rsid w:val="32FC7B27"/>
    <w:rsid w:val="33664A41"/>
    <w:rsid w:val="33B51A84"/>
    <w:rsid w:val="34880F47"/>
    <w:rsid w:val="348A5C2C"/>
    <w:rsid w:val="34D80120"/>
    <w:rsid w:val="34DA5C46"/>
    <w:rsid w:val="356D0868"/>
    <w:rsid w:val="35725E7F"/>
    <w:rsid w:val="35904557"/>
    <w:rsid w:val="35A3072E"/>
    <w:rsid w:val="35D501BC"/>
    <w:rsid w:val="378E4AC6"/>
    <w:rsid w:val="379C5435"/>
    <w:rsid w:val="37AF4CE7"/>
    <w:rsid w:val="386D6DD1"/>
    <w:rsid w:val="39450DC7"/>
    <w:rsid w:val="3AC35094"/>
    <w:rsid w:val="3ACA050B"/>
    <w:rsid w:val="3B0532F1"/>
    <w:rsid w:val="3B712735"/>
    <w:rsid w:val="3B7D557D"/>
    <w:rsid w:val="3B9D79CE"/>
    <w:rsid w:val="3BAE46FA"/>
    <w:rsid w:val="3C017F5D"/>
    <w:rsid w:val="3C236125"/>
    <w:rsid w:val="3DA5709B"/>
    <w:rsid w:val="3E1D0952"/>
    <w:rsid w:val="3EB412B6"/>
    <w:rsid w:val="3EDF3E59"/>
    <w:rsid w:val="3F4A5777"/>
    <w:rsid w:val="3F636838"/>
    <w:rsid w:val="3FD402B9"/>
    <w:rsid w:val="40300E10"/>
    <w:rsid w:val="40550877"/>
    <w:rsid w:val="407E68CF"/>
    <w:rsid w:val="42705F43"/>
    <w:rsid w:val="42976F25"/>
    <w:rsid w:val="431E31A2"/>
    <w:rsid w:val="43B21B3C"/>
    <w:rsid w:val="43B9111D"/>
    <w:rsid w:val="43F860E9"/>
    <w:rsid w:val="44550E45"/>
    <w:rsid w:val="44980319"/>
    <w:rsid w:val="44D64DB5"/>
    <w:rsid w:val="4574179F"/>
    <w:rsid w:val="459F2450"/>
    <w:rsid w:val="466C691A"/>
    <w:rsid w:val="466F101E"/>
    <w:rsid w:val="46C0400D"/>
    <w:rsid w:val="4732546E"/>
    <w:rsid w:val="48EB1D78"/>
    <w:rsid w:val="49E07403"/>
    <w:rsid w:val="4A056E6A"/>
    <w:rsid w:val="4AE253FD"/>
    <w:rsid w:val="4B6D3A5F"/>
    <w:rsid w:val="4C3457E4"/>
    <w:rsid w:val="4D357A66"/>
    <w:rsid w:val="4D4809D8"/>
    <w:rsid w:val="4D866514"/>
    <w:rsid w:val="4E353A96"/>
    <w:rsid w:val="4E994025"/>
    <w:rsid w:val="4F9111A0"/>
    <w:rsid w:val="4F9C32CC"/>
    <w:rsid w:val="501F49FD"/>
    <w:rsid w:val="50526B81"/>
    <w:rsid w:val="50A82C45"/>
    <w:rsid w:val="50CC3A8D"/>
    <w:rsid w:val="52224088"/>
    <w:rsid w:val="52263E21"/>
    <w:rsid w:val="52D7336D"/>
    <w:rsid w:val="530A3743"/>
    <w:rsid w:val="533C1422"/>
    <w:rsid w:val="53A72D40"/>
    <w:rsid w:val="542D76E9"/>
    <w:rsid w:val="54EA7EC3"/>
    <w:rsid w:val="54FB5845"/>
    <w:rsid w:val="55C344E1"/>
    <w:rsid w:val="5712706A"/>
    <w:rsid w:val="571F7091"/>
    <w:rsid w:val="576B22D6"/>
    <w:rsid w:val="580E15DF"/>
    <w:rsid w:val="58A837E2"/>
    <w:rsid w:val="58F509F1"/>
    <w:rsid w:val="59725B9E"/>
    <w:rsid w:val="597933D0"/>
    <w:rsid w:val="5A0A227A"/>
    <w:rsid w:val="5A2C3017"/>
    <w:rsid w:val="5A854500"/>
    <w:rsid w:val="5B351579"/>
    <w:rsid w:val="5BB66216"/>
    <w:rsid w:val="5D1A4582"/>
    <w:rsid w:val="5D2D69AC"/>
    <w:rsid w:val="5E3873B6"/>
    <w:rsid w:val="5E952136"/>
    <w:rsid w:val="5ECE5D4B"/>
    <w:rsid w:val="5FCF3D4A"/>
    <w:rsid w:val="60327E35"/>
    <w:rsid w:val="60AE1BB1"/>
    <w:rsid w:val="60C25FB7"/>
    <w:rsid w:val="6129748A"/>
    <w:rsid w:val="624927E5"/>
    <w:rsid w:val="6299063F"/>
    <w:rsid w:val="62B84919"/>
    <w:rsid w:val="638506A1"/>
    <w:rsid w:val="64C1451D"/>
    <w:rsid w:val="64E536C8"/>
    <w:rsid w:val="65362175"/>
    <w:rsid w:val="65A43583"/>
    <w:rsid w:val="65D73958"/>
    <w:rsid w:val="66CE6B21"/>
    <w:rsid w:val="66DE54D4"/>
    <w:rsid w:val="66E73DA7"/>
    <w:rsid w:val="677926FA"/>
    <w:rsid w:val="68784853"/>
    <w:rsid w:val="689E075E"/>
    <w:rsid w:val="696F20FA"/>
    <w:rsid w:val="698C05B6"/>
    <w:rsid w:val="6A0E546F"/>
    <w:rsid w:val="6A707ED8"/>
    <w:rsid w:val="6ABF49BB"/>
    <w:rsid w:val="6C411B2C"/>
    <w:rsid w:val="6C4B6506"/>
    <w:rsid w:val="6D373934"/>
    <w:rsid w:val="6D567859"/>
    <w:rsid w:val="6E054DDB"/>
    <w:rsid w:val="6E274D51"/>
    <w:rsid w:val="6F071839"/>
    <w:rsid w:val="701B08E6"/>
    <w:rsid w:val="70310109"/>
    <w:rsid w:val="70F51137"/>
    <w:rsid w:val="715B13E6"/>
    <w:rsid w:val="7160325F"/>
    <w:rsid w:val="7215353D"/>
    <w:rsid w:val="721F3830"/>
    <w:rsid w:val="731004AA"/>
    <w:rsid w:val="741B5358"/>
    <w:rsid w:val="74C652C4"/>
    <w:rsid w:val="75A60C51"/>
    <w:rsid w:val="7621652A"/>
    <w:rsid w:val="766A4A4D"/>
    <w:rsid w:val="768F5B89"/>
    <w:rsid w:val="76A9475E"/>
    <w:rsid w:val="76C92E49"/>
    <w:rsid w:val="76E50393"/>
    <w:rsid w:val="770A0750"/>
    <w:rsid w:val="77161E07"/>
    <w:rsid w:val="77291B3A"/>
    <w:rsid w:val="77512E3F"/>
    <w:rsid w:val="782347DB"/>
    <w:rsid w:val="795804B5"/>
    <w:rsid w:val="7A396538"/>
    <w:rsid w:val="7B02692A"/>
    <w:rsid w:val="7D1D3EEF"/>
    <w:rsid w:val="7D2D3A06"/>
    <w:rsid w:val="7D385FFD"/>
    <w:rsid w:val="7D6C09D3"/>
    <w:rsid w:val="7E2E7A36"/>
    <w:rsid w:val="7E3F7E95"/>
    <w:rsid w:val="7ECD36F3"/>
    <w:rsid w:val="7EEB01F1"/>
    <w:rsid w:val="7F38695B"/>
    <w:rsid w:val="7F710522"/>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6"/>
    <w:next w:val="1"/>
    <w:qFormat/>
    <w:uiPriority w:val="0"/>
    <w:pPr>
      <w:tabs>
        <w:tab w:val="right" w:leader="dot" w:pos="9060"/>
      </w:tabs>
      <w:spacing w:after="120" w:line="360" w:lineRule="exact"/>
      <w:ind w:firstLine="198"/>
      <w:jc w:val="center"/>
    </w:pPr>
    <w:rPr>
      <w:rFonts w:ascii="宋体" w:hAnsi="宋体"/>
      <w:b/>
      <w:bCs/>
      <w:caps/>
    </w:rPr>
  </w:style>
  <w:style w:type="paragraph" w:styleId="6">
    <w:name w:val="index 1"/>
    <w:basedOn w:val="1"/>
    <w:next w:val="1"/>
    <w:qFormat/>
    <w:uiPriority w:val="0"/>
  </w:style>
  <w:style w:type="character" w:styleId="9">
    <w:name w:val="Emphasis"/>
    <w:basedOn w:val="8"/>
    <w:qFormat/>
    <w:uiPriority w:val="0"/>
  </w:style>
  <w:style w:type="character" w:styleId="10">
    <w:name w:val="Hyperlink"/>
    <w:basedOn w:val="8"/>
    <w:qFormat/>
    <w:uiPriority w:val="0"/>
    <w:rPr>
      <w:color w:val="0000FF"/>
      <w:u w:val="single"/>
    </w:rPr>
  </w:style>
  <w:style w:type="paragraph" w:customStyle="1" w:styleId="11">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2">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3">
    <w:name w:val="正文1"/>
    <w:basedOn w:val="1"/>
    <w:qFormat/>
    <w:uiPriority w:val="0"/>
    <w:pPr>
      <w:adjustRightInd w:val="0"/>
      <w:spacing w:line="480" w:lineRule="exact"/>
      <w:textAlignment w:val="baseline"/>
    </w:pPr>
    <w:rPr>
      <w:spacing w:val="-2"/>
      <w:kern w:val="0"/>
      <w:sz w:val="28"/>
      <w:szCs w:val="20"/>
    </w:rPr>
  </w:style>
  <w:style w:type="paragraph" w:styleId="14">
    <w:name w:val="List Paragraph"/>
    <w:basedOn w:val="1"/>
    <w:qFormat/>
    <w:uiPriority w:val="0"/>
    <w:pPr>
      <w:ind w:firstLine="420" w:firstLineChars="200"/>
    </w:pPr>
  </w:style>
  <w:style w:type="character" w:customStyle="1" w:styleId="15">
    <w:name w:val="标题 2 Char1"/>
    <w:qFormat/>
    <w:uiPriority w:val="0"/>
    <w:rPr>
      <w:rFonts w:ascii="Cambria" w:hAnsi="Cambria" w:eastAsia="宋体" w:cs="Cambria"/>
      <w:b/>
      <w:bCs/>
      <w:kern w:val="0"/>
      <w:sz w:val="32"/>
      <w:szCs w:val="32"/>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cs="宋体"/>
      <w:szCs w:val="21"/>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星元-表格标题"/>
    <w:basedOn w:val="1"/>
    <w:qFormat/>
    <w:uiPriority w:val="0"/>
    <w:pPr>
      <w:keepNext/>
      <w:spacing w:before="312" w:beforeLines="100" w:line="240" w:lineRule="auto"/>
      <w:jc w:val="center"/>
    </w:pPr>
    <w:rPr>
      <w:rFonts w:cs="宋体"/>
      <w:sz w:val="21"/>
      <w:szCs w:val="20"/>
    </w:rPr>
  </w:style>
  <w:style w:type="paragraph" w:customStyle="1" w:styleId="20">
    <w:name w:val="GS-表格内字号"/>
    <w:basedOn w:val="1"/>
    <w:qFormat/>
    <w:uiPriority w:val="0"/>
    <w:pPr>
      <w:spacing w:line="240" w:lineRule="auto"/>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4725</Words>
  <Characters>5132</Characters>
  <Lines>32</Lines>
  <Paragraphs>9</Paragraphs>
  <TotalTime>21</TotalTime>
  <ScaleCrop>false</ScaleCrop>
  <LinksUpToDate>false</LinksUpToDate>
  <CharactersWithSpaces>6752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2026-01-13T05:18:00Z</dcterms:created>
  <dc:creator>Gellert</dc:creator>
  <cp:lastModifiedBy>闫静</cp:lastModifiedBy>
  <dcterms:modified xsi:type="dcterms:W3CDTF">2026-06-18T03:09:48Z</dcterms:modified>
  <dc:title>济南卫星DCMM贯标咨询服务采购竞谈公告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EAF97EA62E3343049BC94443BA8F53EC_13</vt:lpwstr>
  </property>
  <property fmtid="{D5CDD505-2E9C-101B-9397-08002B2CF9AE}" pid="4" name="KSOTemplateDocerSaveRecord">
    <vt:lpwstr>eyJoZGlkIjoiZDIyNGJkMThhNTAyNjExMGI4MjFjYWNkNWM0MmM3OGMiLCJ1c2VySWQiOiI4OTg0MDcwMjAifQ==</vt:lpwstr>
  </property>
</Properties>
</file>